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F7" w:rsidRDefault="00141B5C" w:rsidP="002331F7">
      <w:pPr>
        <w:autoSpaceDE w:val="0"/>
        <w:spacing w:after="280"/>
        <w:rPr>
          <w:b/>
          <w:bCs/>
          <w:szCs w:val="28"/>
        </w:rPr>
      </w:pPr>
      <w:r>
        <w:rPr>
          <w:b/>
          <w:bCs/>
          <w:noProof/>
          <w:sz w:val="24"/>
          <w:lang w:eastAsia="uk-UA"/>
        </w:rPr>
        <mc:AlternateContent>
          <mc:Choice Requires="wps">
            <w:drawing>
              <wp:inline distT="0" distB="0" distL="0" distR="0">
                <wp:extent cx="6115050" cy="1628140"/>
                <wp:effectExtent l="0" t="0" r="0" b="635"/>
                <wp:docPr id="14"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15050" cy="162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F7C05" w:rsidRPr="002331F7" w:rsidRDefault="009F7C05" w:rsidP="002331F7">
                            <w:pPr>
                              <w:pStyle w:val="aa"/>
                              <w:spacing w:before="0" w:beforeAutospacing="0" w:after="0" w:afterAutospacing="0"/>
                              <w:jc w:val="center"/>
                              <w:rPr>
                                <w:sz w:val="32"/>
                                <w:szCs w:val="32"/>
                              </w:rPr>
                            </w:pPr>
                            <w:r w:rsidRPr="002331F7">
                              <w:rPr>
                                <w:rFonts w:ascii="Arial Black" w:hAnsi="Arial Black"/>
                                <w:color w:val="70AD47"/>
                                <w:sz w:val="32"/>
                                <w:szCs w:val="32"/>
                              </w:rPr>
                              <w:t>ОГЛЯД</w:t>
                            </w:r>
                          </w:p>
                          <w:p w:rsidR="009F7C05" w:rsidRPr="002331F7" w:rsidRDefault="009F7C05" w:rsidP="002331F7">
                            <w:pPr>
                              <w:pStyle w:val="aa"/>
                              <w:spacing w:before="0" w:beforeAutospacing="0" w:after="0" w:afterAutospacing="0"/>
                              <w:jc w:val="center"/>
                              <w:rPr>
                                <w:sz w:val="32"/>
                                <w:szCs w:val="32"/>
                              </w:rPr>
                            </w:pPr>
                            <w:r w:rsidRPr="002331F7">
                              <w:rPr>
                                <w:rFonts w:ascii="Arial Black" w:hAnsi="Arial Black"/>
                                <w:color w:val="70AD47"/>
                                <w:sz w:val="32"/>
                                <w:szCs w:val="32"/>
                              </w:rPr>
                              <w:t>ДАНИХ ПРО СТАН ЗДІЙСНЕННЯ ПРАВОСУДДЯ</w:t>
                            </w:r>
                          </w:p>
                          <w:p w:rsidR="009F7C05" w:rsidRPr="002331F7" w:rsidRDefault="009F7C05" w:rsidP="002331F7">
                            <w:pPr>
                              <w:pStyle w:val="aa"/>
                              <w:spacing w:before="0" w:beforeAutospacing="0" w:after="0" w:afterAutospacing="0"/>
                              <w:jc w:val="center"/>
                              <w:rPr>
                                <w:sz w:val="32"/>
                                <w:szCs w:val="32"/>
                              </w:rPr>
                            </w:pPr>
                            <w:r w:rsidRPr="002331F7">
                              <w:rPr>
                                <w:rFonts w:ascii="Arial Black" w:hAnsi="Arial Black"/>
                                <w:color w:val="70AD47"/>
                                <w:sz w:val="32"/>
                                <w:szCs w:val="32"/>
                              </w:rPr>
                              <w:t xml:space="preserve">ТРОСТЯНЕЦЬКИМ РАЙОННИМ </w:t>
                            </w:r>
                            <w:r>
                              <w:rPr>
                                <w:rFonts w:ascii="Arial Black" w:hAnsi="Arial Black"/>
                                <w:color w:val="70AD47"/>
                                <w:sz w:val="32"/>
                                <w:szCs w:val="32"/>
                              </w:rPr>
                              <w:t>СУДОМ ВІННИЦЬКОЇ ОБЛАСТІ ЗА 202</w:t>
                            </w:r>
                            <w:r>
                              <w:rPr>
                                <w:rFonts w:ascii="Arial Black" w:hAnsi="Arial Black"/>
                                <w:color w:val="70AD47"/>
                                <w:sz w:val="32"/>
                                <w:szCs w:val="32"/>
                                <w:lang w:val="uk-UA"/>
                              </w:rPr>
                              <w:t>2</w:t>
                            </w:r>
                            <w:r w:rsidRPr="002331F7">
                              <w:rPr>
                                <w:rFonts w:ascii="Arial Black" w:hAnsi="Arial Black"/>
                                <w:color w:val="70AD47"/>
                                <w:sz w:val="32"/>
                                <w:szCs w:val="32"/>
                              </w:rPr>
                              <w:t xml:space="preserve"> РІК</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49" o:spid="_x0000_s1026" type="#_x0000_t202" style="width:481.5pt;height:1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" filled="f" stroked="f">
                <v:stroke joinstyle="round"/>
                <o:lock v:ext="edit" shapetype="t"/>
                <v:textbox>
                  <w:txbxContent>
                    <w:p w:rsidR="009F7C05" w:rsidRPr="002331F7" w:rsidRDefault="009F7C05" w:rsidP="002331F7">
                      <w:pPr>
                        <w:pStyle w:val="aa"/>
                        <w:spacing w:before="0" w:beforeAutospacing="0" w:after="0" w:afterAutospacing="0"/>
                        <w:jc w:val="center"/>
                        <w:rPr>
                          <w:sz w:val="32"/>
                          <w:szCs w:val="32"/>
                        </w:rPr>
                      </w:pPr>
                      <w:r w:rsidRPr="002331F7">
                        <w:rPr>
                          <w:rFonts w:ascii="Arial Black" w:hAnsi="Arial Black"/>
                          <w:color w:val="70AD47"/>
                          <w:sz w:val="32"/>
                          <w:szCs w:val="32"/>
                        </w:rPr>
                        <w:t>ОГЛЯД</w:t>
                      </w:r>
                    </w:p>
                    <w:p w:rsidR="009F7C05" w:rsidRPr="002331F7" w:rsidRDefault="009F7C05" w:rsidP="002331F7">
                      <w:pPr>
                        <w:pStyle w:val="aa"/>
                        <w:spacing w:before="0" w:beforeAutospacing="0" w:after="0" w:afterAutospacing="0"/>
                        <w:jc w:val="center"/>
                        <w:rPr>
                          <w:sz w:val="32"/>
                          <w:szCs w:val="32"/>
                        </w:rPr>
                      </w:pPr>
                      <w:r w:rsidRPr="002331F7">
                        <w:rPr>
                          <w:rFonts w:ascii="Arial Black" w:hAnsi="Arial Black"/>
                          <w:color w:val="70AD47"/>
                          <w:sz w:val="32"/>
                          <w:szCs w:val="32"/>
                        </w:rPr>
                        <w:t>ДАНИХ ПРО СТАН ЗДІЙСНЕННЯ ПРАВОСУДДЯ</w:t>
                      </w:r>
                    </w:p>
                    <w:p w:rsidR="009F7C05" w:rsidRPr="002331F7" w:rsidRDefault="009F7C05" w:rsidP="002331F7">
                      <w:pPr>
                        <w:pStyle w:val="aa"/>
                        <w:spacing w:before="0" w:beforeAutospacing="0" w:after="0" w:afterAutospacing="0"/>
                        <w:jc w:val="center"/>
                        <w:rPr>
                          <w:sz w:val="32"/>
                          <w:szCs w:val="32"/>
                        </w:rPr>
                      </w:pPr>
                      <w:r w:rsidRPr="002331F7">
                        <w:rPr>
                          <w:rFonts w:ascii="Arial Black" w:hAnsi="Arial Black"/>
                          <w:color w:val="70AD47"/>
                          <w:sz w:val="32"/>
                          <w:szCs w:val="32"/>
                        </w:rPr>
                        <w:t xml:space="preserve">ТРОСТЯНЕЦЬКИМ РАЙОННИМ </w:t>
                      </w:r>
                      <w:r>
                        <w:rPr>
                          <w:rFonts w:ascii="Arial Black" w:hAnsi="Arial Black"/>
                          <w:color w:val="70AD47"/>
                          <w:sz w:val="32"/>
                          <w:szCs w:val="32"/>
                        </w:rPr>
                        <w:t>СУДОМ ВІННИЦЬКОЇ ОБЛАСТІ ЗА 202</w:t>
                      </w:r>
                      <w:r>
                        <w:rPr>
                          <w:rFonts w:ascii="Arial Black" w:hAnsi="Arial Black"/>
                          <w:color w:val="70AD47"/>
                          <w:sz w:val="32"/>
                          <w:szCs w:val="32"/>
                          <w:lang w:val="uk-UA"/>
                        </w:rPr>
                        <w:t>2</w:t>
                      </w:r>
                      <w:r w:rsidRPr="002331F7">
                        <w:rPr>
                          <w:rFonts w:ascii="Arial Black" w:hAnsi="Arial Black"/>
                          <w:color w:val="70AD47"/>
                          <w:sz w:val="32"/>
                          <w:szCs w:val="32"/>
                        </w:rPr>
                        <w:t xml:space="preserve"> РІК</w:t>
                      </w:r>
                    </w:p>
                  </w:txbxContent>
                </v:textbox>
                <w10:anchorlock/>
              </v:shape>
            </w:pict>
          </mc:Fallback>
        </mc:AlternateContent>
      </w:r>
    </w:p>
    <w:p w:rsidR="002331F7" w:rsidRDefault="002331F7" w:rsidP="002331F7">
      <w:pPr>
        <w:autoSpaceDE w:val="0"/>
        <w:spacing w:line="276" w:lineRule="auto"/>
        <w:ind w:firstLine="567"/>
        <w:jc w:val="both"/>
        <w:rPr>
          <w:szCs w:val="28"/>
        </w:rPr>
      </w:pPr>
      <w:r>
        <w:rPr>
          <w:szCs w:val="28"/>
        </w:rPr>
        <w:t xml:space="preserve">На виконання </w:t>
      </w:r>
      <w:r w:rsidR="003D28ED">
        <w:rPr>
          <w:szCs w:val="28"/>
        </w:rPr>
        <w:t xml:space="preserve">плану роботи </w:t>
      </w:r>
      <w:r>
        <w:rPr>
          <w:szCs w:val="28"/>
        </w:rPr>
        <w:t xml:space="preserve">Тростянецького районного суду Вінницької області </w:t>
      </w:r>
      <w:r w:rsidR="003D28ED">
        <w:rPr>
          <w:szCs w:val="28"/>
        </w:rPr>
        <w:t xml:space="preserve">на перше півріччя 2023 року </w:t>
      </w:r>
      <w:r>
        <w:rPr>
          <w:szCs w:val="28"/>
        </w:rPr>
        <w:t xml:space="preserve">проведено огляд </w:t>
      </w:r>
      <w:r w:rsidR="00BF5F87">
        <w:rPr>
          <w:szCs w:val="28"/>
        </w:rPr>
        <w:t>даних судової статистики за 2022 рік в порівняні з 2021</w:t>
      </w:r>
      <w:r>
        <w:rPr>
          <w:szCs w:val="28"/>
        </w:rPr>
        <w:t xml:space="preserve"> роком.</w:t>
      </w:r>
    </w:p>
    <w:p w:rsidR="002331F7" w:rsidRDefault="002331F7" w:rsidP="002331F7">
      <w:pPr>
        <w:autoSpaceDE w:val="0"/>
        <w:spacing w:line="276" w:lineRule="auto"/>
        <w:ind w:firstLine="567"/>
        <w:jc w:val="both"/>
        <w:rPr>
          <w:szCs w:val="28"/>
        </w:rPr>
      </w:pPr>
      <w:r>
        <w:rPr>
          <w:szCs w:val="28"/>
        </w:rPr>
        <w:t>Планування організації обліково-статистичної роботи в Тростянецькому районному суді відображається в планах роботи суду, які складаються кожного півріччя.</w:t>
      </w:r>
    </w:p>
    <w:p w:rsidR="002331F7" w:rsidRDefault="002331F7" w:rsidP="002331F7">
      <w:pPr>
        <w:autoSpaceDE w:val="0"/>
        <w:spacing w:line="276" w:lineRule="auto"/>
        <w:ind w:firstLine="567"/>
        <w:jc w:val="both"/>
        <w:rPr>
          <w:szCs w:val="28"/>
        </w:rPr>
      </w:pPr>
      <w:r>
        <w:rPr>
          <w:szCs w:val="28"/>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проводяться керівником апарату суду. Працівники апарату суду також беруть до уваги довідки, які складаються за результатами проведених перевірок.</w:t>
      </w:r>
    </w:p>
    <w:p w:rsidR="002331F7" w:rsidRDefault="002331F7" w:rsidP="002331F7">
      <w:pPr>
        <w:autoSpaceDE w:val="0"/>
        <w:spacing w:line="276" w:lineRule="auto"/>
        <w:ind w:firstLine="567"/>
        <w:jc w:val="both"/>
        <w:rPr>
          <w:szCs w:val="28"/>
        </w:rPr>
      </w:pPr>
      <w:r>
        <w:rPr>
          <w:szCs w:val="28"/>
        </w:rPr>
        <w:t>Під час проведення вказаного огляду було використано статистичні звіти Трост</w:t>
      </w:r>
      <w:r w:rsidR="00BF5F87">
        <w:rPr>
          <w:szCs w:val="28"/>
        </w:rPr>
        <w:t>янецького районного суду за 2022 та 2021</w:t>
      </w:r>
      <w:r>
        <w:rPr>
          <w:szCs w:val="28"/>
        </w:rPr>
        <w:t xml:space="preserve"> роки.</w:t>
      </w:r>
    </w:p>
    <w:p w:rsidR="002331F7" w:rsidRDefault="002331F7" w:rsidP="002331F7">
      <w:pPr>
        <w:autoSpaceDE w:val="0"/>
        <w:spacing w:line="276" w:lineRule="auto"/>
        <w:ind w:firstLine="567"/>
        <w:jc w:val="both"/>
        <w:rPr>
          <w:szCs w:val="28"/>
        </w:rPr>
      </w:pPr>
      <w:r>
        <w:rPr>
          <w:szCs w:val="28"/>
        </w:rPr>
        <w:t>Даний огляд відображає стан здійснення правосуддя Тростянецьким районним судом Вінницької області в розрізі всіх видів судочинства, які надійшли до суду за аналізований період.</w:t>
      </w:r>
    </w:p>
    <w:p w:rsidR="002D477E" w:rsidRDefault="002331F7" w:rsidP="00D07FD2">
      <w:pPr>
        <w:spacing w:line="276" w:lineRule="auto"/>
        <w:ind w:firstLine="708"/>
        <w:jc w:val="both"/>
        <w:rPr>
          <w:szCs w:val="28"/>
        </w:rPr>
      </w:pPr>
      <w:r>
        <w:rPr>
          <w:szCs w:val="28"/>
        </w:rPr>
        <w:t>За штатним розписом в Тростянецькому районному суді передбачен</w:t>
      </w:r>
      <w:r w:rsidR="00BF5F87">
        <w:rPr>
          <w:szCs w:val="28"/>
        </w:rPr>
        <w:t>о 4 штатних посади судді, в 2022</w:t>
      </w:r>
      <w:r>
        <w:rPr>
          <w:szCs w:val="28"/>
        </w:rPr>
        <w:t xml:space="preserve"> році фактично заповнено </w:t>
      </w:r>
      <w:r w:rsidR="00F649F4" w:rsidRPr="00F649F4">
        <w:rPr>
          <w:szCs w:val="28"/>
          <w:lang w:val="ru-RU"/>
        </w:rPr>
        <w:t>3</w:t>
      </w:r>
      <w:r w:rsidRPr="002331F7">
        <w:rPr>
          <w:szCs w:val="28"/>
          <w:lang w:val="ru-RU"/>
        </w:rPr>
        <w:t xml:space="preserve"> </w:t>
      </w:r>
      <w:r w:rsidR="00D07FD2">
        <w:rPr>
          <w:szCs w:val="28"/>
        </w:rPr>
        <w:t>штатних посади судді.</w:t>
      </w:r>
    </w:p>
    <w:p w:rsidR="00D07FD2" w:rsidRDefault="00D07FD2" w:rsidP="00D07FD2">
      <w:pPr>
        <w:spacing w:line="276" w:lineRule="auto"/>
        <w:ind w:firstLine="708"/>
        <w:jc w:val="both"/>
        <w:rPr>
          <w:szCs w:val="28"/>
        </w:rPr>
      </w:pPr>
    </w:p>
    <w:p w:rsidR="008A78A2" w:rsidRDefault="008A78A2" w:rsidP="002D477E">
      <w:pPr>
        <w:autoSpaceDE w:val="0"/>
        <w:autoSpaceDN w:val="0"/>
        <w:adjustRightInd w:val="0"/>
        <w:spacing w:before="100" w:beforeAutospacing="1" w:after="100" w:afterAutospacing="1"/>
        <w:ind w:firstLine="567"/>
        <w:contextualSpacing/>
        <w:jc w:val="both"/>
        <w:rPr>
          <w:szCs w:val="28"/>
        </w:rPr>
      </w:pPr>
      <w:r w:rsidRPr="00D07FD2">
        <w:rPr>
          <w:b/>
          <w:szCs w:val="28"/>
        </w:rPr>
        <w:t>Загальна кількість справ та матері</w:t>
      </w:r>
      <w:r w:rsidR="000411D6" w:rsidRPr="00D07FD2">
        <w:rPr>
          <w:b/>
          <w:szCs w:val="28"/>
        </w:rPr>
        <w:t>алів, що надійшли до суду у 2021 та 2022</w:t>
      </w:r>
      <w:r w:rsidRPr="00D07FD2">
        <w:rPr>
          <w:b/>
          <w:szCs w:val="28"/>
        </w:rPr>
        <w:t xml:space="preserve"> роках виглядає наступним чином</w:t>
      </w:r>
      <w:r>
        <w:rPr>
          <w:szCs w:val="28"/>
        </w:rPr>
        <w:t>:</w:t>
      </w:r>
    </w:p>
    <w:p w:rsidR="00D07FD2" w:rsidRDefault="00D07FD2" w:rsidP="002D477E">
      <w:pPr>
        <w:autoSpaceDE w:val="0"/>
        <w:autoSpaceDN w:val="0"/>
        <w:adjustRightInd w:val="0"/>
        <w:spacing w:before="100" w:beforeAutospacing="1" w:after="100" w:afterAutospacing="1"/>
        <w:ind w:firstLine="567"/>
        <w:contextualSpacing/>
        <w:jc w:val="both"/>
        <w:rPr>
          <w:szCs w:val="28"/>
        </w:rPr>
      </w:pPr>
      <w:r>
        <w:rPr>
          <w:noProof/>
          <w:lang w:eastAsia="uk-UA"/>
        </w:rPr>
        <w:lastRenderedPageBreak/>
        <w:drawing>
          <wp:inline distT="0" distB="0" distL="0" distR="0" wp14:anchorId="03022F42" wp14:editId="05DBA1D7">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7FD2" w:rsidRDefault="00D07FD2" w:rsidP="002D477E">
      <w:pPr>
        <w:autoSpaceDE w:val="0"/>
        <w:autoSpaceDN w:val="0"/>
        <w:adjustRightInd w:val="0"/>
        <w:spacing w:before="100" w:beforeAutospacing="1" w:after="100" w:afterAutospacing="1"/>
        <w:ind w:firstLine="567"/>
        <w:contextualSpacing/>
        <w:jc w:val="both"/>
        <w:rPr>
          <w:szCs w:val="28"/>
        </w:rPr>
      </w:pPr>
    </w:p>
    <w:p w:rsidR="00D07FD2" w:rsidRPr="00D07FD2" w:rsidRDefault="00D07FD2" w:rsidP="00D07FD2">
      <w:pPr>
        <w:spacing w:line="276" w:lineRule="auto"/>
        <w:ind w:firstLine="708"/>
        <w:jc w:val="both"/>
        <w:rPr>
          <w:b/>
        </w:rPr>
      </w:pPr>
      <w:r w:rsidRPr="00D07FD2">
        <w:rPr>
          <w:b/>
        </w:rPr>
        <w:t>Структура справ та матеріалів, що надійшли до суду у поточному звітному пе</w:t>
      </w:r>
      <w:r w:rsidR="00587D30">
        <w:rPr>
          <w:b/>
        </w:rPr>
        <w:t>ріоді, виглядає наступним чином:</w:t>
      </w:r>
    </w:p>
    <w:p w:rsidR="00D07FD2" w:rsidRPr="00D07FD2" w:rsidRDefault="00D07FD2" w:rsidP="002D477E">
      <w:pPr>
        <w:autoSpaceDE w:val="0"/>
        <w:autoSpaceDN w:val="0"/>
        <w:adjustRightInd w:val="0"/>
        <w:spacing w:before="100" w:beforeAutospacing="1" w:after="100" w:afterAutospacing="1"/>
        <w:ind w:firstLine="567"/>
        <w:contextualSpacing/>
        <w:jc w:val="both"/>
        <w:rPr>
          <w:b/>
          <w:szCs w:val="28"/>
        </w:rPr>
      </w:pPr>
    </w:p>
    <w:p w:rsidR="00993266" w:rsidRPr="00D07FD2" w:rsidRDefault="00A05FFB" w:rsidP="00D07FD2">
      <w:pPr>
        <w:autoSpaceDE w:val="0"/>
        <w:autoSpaceDN w:val="0"/>
        <w:adjustRightInd w:val="0"/>
        <w:spacing w:before="100" w:beforeAutospacing="1" w:after="100" w:afterAutospacing="1"/>
        <w:ind w:firstLine="567"/>
        <w:contextualSpacing/>
        <w:jc w:val="both"/>
        <w:rPr>
          <w:sz w:val="24"/>
        </w:rPr>
      </w:pPr>
      <w:r>
        <w:rPr>
          <w:szCs w:val="28"/>
        </w:rPr>
        <w:t xml:space="preserve">        </w:t>
      </w:r>
      <w:r w:rsidR="008A78A2">
        <w:rPr>
          <w:szCs w:val="28"/>
        </w:rPr>
        <w:tab/>
      </w:r>
      <w:r w:rsidR="008A78A2">
        <w:rPr>
          <w:szCs w:val="28"/>
        </w:rPr>
        <w:tab/>
      </w:r>
      <w:r w:rsidR="008A78A2">
        <w:rPr>
          <w:szCs w:val="28"/>
        </w:rPr>
        <w:tab/>
      </w:r>
      <w:r w:rsidR="008A78A2">
        <w:rPr>
          <w:szCs w:val="28"/>
        </w:rPr>
        <w:tab/>
      </w:r>
      <w:r w:rsidR="008A78A2">
        <w:rPr>
          <w:szCs w:val="28"/>
        </w:rPr>
        <w:tab/>
      </w:r>
      <w:r w:rsidR="009B2332">
        <w:rPr>
          <w:noProof/>
          <w:lang w:eastAsia="uk-UA"/>
        </w:rPr>
        <w:drawing>
          <wp:inline distT="0" distB="0" distL="0" distR="0" wp14:anchorId="4B1AE2DE" wp14:editId="617E3603">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A78A2">
        <w:rPr>
          <w:szCs w:val="28"/>
        </w:rPr>
        <w:tab/>
      </w:r>
      <w:r w:rsidR="008A78A2">
        <w:rPr>
          <w:szCs w:val="28"/>
        </w:rPr>
        <w:tab/>
      </w:r>
      <w:r w:rsidR="008A78A2">
        <w:rPr>
          <w:szCs w:val="28"/>
        </w:rPr>
        <w:tab/>
      </w:r>
      <w:r w:rsidR="008A78A2">
        <w:rPr>
          <w:szCs w:val="28"/>
        </w:rPr>
        <w:tab/>
      </w:r>
      <w:r w:rsidR="008A78A2">
        <w:rPr>
          <w:szCs w:val="28"/>
        </w:rPr>
        <w:tab/>
      </w:r>
    </w:p>
    <w:p w:rsidR="00993266" w:rsidRDefault="00993266" w:rsidP="002D477E">
      <w:pPr>
        <w:autoSpaceDE w:val="0"/>
        <w:autoSpaceDN w:val="0"/>
        <w:adjustRightInd w:val="0"/>
        <w:spacing w:before="100" w:beforeAutospacing="1" w:after="100" w:afterAutospacing="1"/>
        <w:ind w:firstLine="567"/>
        <w:contextualSpacing/>
        <w:jc w:val="both"/>
        <w:rPr>
          <w:szCs w:val="28"/>
        </w:rPr>
      </w:pPr>
      <w:r>
        <w:rPr>
          <w:szCs w:val="28"/>
        </w:rPr>
        <w:t>Середньомісячне надходження всі</w:t>
      </w:r>
      <w:r w:rsidR="0078294C">
        <w:rPr>
          <w:szCs w:val="28"/>
        </w:rPr>
        <w:t>х справ до суду в місяць за 2022</w:t>
      </w:r>
      <w:r>
        <w:rPr>
          <w:szCs w:val="28"/>
        </w:rPr>
        <w:t xml:space="preserve"> рік складає</w:t>
      </w:r>
      <w:r w:rsidR="001138E7">
        <w:rPr>
          <w:szCs w:val="28"/>
        </w:rPr>
        <w:t xml:space="preserve"> </w:t>
      </w:r>
      <w:r>
        <w:rPr>
          <w:szCs w:val="28"/>
        </w:rPr>
        <w:t>1</w:t>
      </w:r>
      <w:r w:rsidR="0078294C">
        <w:rPr>
          <w:szCs w:val="28"/>
        </w:rPr>
        <w:t>35 справ, в 2021</w:t>
      </w:r>
      <w:r w:rsidR="006E28B5">
        <w:rPr>
          <w:szCs w:val="28"/>
        </w:rPr>
        <w:t xml:space="preserve"> році</w:t>
      </w:r>
      <w:r w:rsidR="00A05FFB">
        <w:rPr>
          <w:szCs w:val="28"/>
        </w:rPr>
        <w:t xml:space="preserve"> </w:t>
      </w:r>
      <w:r w:rsidR="006E28B5">
        <w:rPr>
          <w:szCs w:val="28"/>
        </w:rPr>
        <w:t>-</w:t>
      </w:r>
      <w:r w:rsidR="00505318">
        <w:rPr>
          <w:szCs w:val="28"/>
        </w:rPr>
        <w:t xml:space="preserve"> </w:t>
      </w:r>
      <w:r w:rsidR="0078294C">
        <w:rPr>
          <w:szCs w:val="28"/>
        </w:rPr>
        <w:t>140 справ</w:t>
      </w:r>
      <w:r w:rsidR="006E28B5">
        <w:rPr>
          <w:szCs w:val="28"/>
        </w:rPr>
        <w:t>.</w:t>
      </w:r>
    </w:p>
    <w:p w:rsidR="006E28B5" w:rsidRDefault="006E28B5" w:rsidP="002D477E">
      <w:pPr>
        <w:autoSpaceDE w:val="0"/>
        <w:autoSpaceDN w:val="0"/>
        <w:adjustRightInd w:val="0"/>
        <w:spacing w:before="100" w:beforeAutospacing="1" w:after="100" w:afterAutospacing="1"/>
        <w:ind w:firstLine="567"/>
        <w:contextualSpacing/>
        <w:jc w:val="both"/>
        <w:rPr>
          <w:szCs w:val="28"/>
        </w:rPr>
      </w:pPr>
      <w:r>
        <w:rPr>
          <w:szCs w:val="28"/>
        </w:rPr>
        <w:t>Середня кількість справ, що перебували на розгляді в звітний період в розрахунку на одного суддю</w:t>
      </w:r>
      <w:r w:rsidR="0078294C">
        <w:rPr>
          <w:szCs w:val="28"/>
        </w:rPr>
        <w:t xml:space="preserve"> становила – 551 (30,7%), в 2021</w:t>
      </w:r>
      <w:r>
        <w:rPr>
          <w:szCs w:val="28"/>
        </w:rPr>
        <w:t xml:space="preserve"> році </w:t>
      </w:r>
      <w:r w:rsidR="0078294C">
        <w:rPr>
          <w:szCs w:val="28"/>
        </w:rPr>
        <w:t>658</w:t>
      </w:r>
      <w:r>
        <w:rPr>
          <w:szCs w:val="28"/>
        </w:rPr>
        <w:t xml:space="preserve"> (33,3%), отже, середньомісячне надходження справ на одного суддю в порівнянні з попереднім періодом</w:t>
      </w:r>
      <w:r w:rsidR="0078294C">
        <w:rPr>
          <w:szCs w:val="28"/>
        </w:rPr>
        <w:t xml:space="preserve"> зменшилося на 2,6 %</w:t>
      </w:r>
      <w:r>
        <w:rPr>
          <w:szCs w:val="28"/>
        </w:rPr>
        <w:t>.</w:t>
      </w:r>
    </w:p>
    <w:p w:rsidR="00D04B97" w:rsidRPr="00ED04E8" w:rsidRDefault="00D04B97" w:rsidP="00F41F59">
      <w:pPr>
        <w:jc w:val="both"/>
      </w:pPr>
    </w:p>
    <w:p w:rsidR="00505BA7" w:rsidRDefault="00505BA7" w:rsidP="00505BA7">
      <w:pPr>
        <w:ind w:firstLine="708"/>
        <w:jc w:val="center"/>
        <w:rPr>
          <w:b/>
          <w:sz w:val="32"/>
          <w:szCs w:val="32"/>
        </w:rPr>
      </w:pPr>
      <w:r w:rsidRPr="00505BA7">
        <w:rPr>
          <w:b/>
          <w:sz w:val="32"/>
          <w:szCs w:val="32"/>
        </w:rPr>
        <w:t>АДМІНІСТРАТИВНЕ СУДОЧИНСТВО</w:t>
      </w:r>
    </w:p>
    <w:p w:rsidR="001138E7" w:rsidRDefault="001138E7" w:rsidP="00505BA7">
      <w:pPr>
        <w:ind w:firstLine="708"/>
        <w:jc w:val="center"/>
        <w:rPr>
          <w:b/>
          <w:sz w:val="32"/>
          <w:szCs w:val="32"/>
        </w:rPr>
      </w:pPr>
    </w:p>
    <w:p w:rsidR="009139BB" w:rsidRDefault="0078294C" w:rsidP="009B672C">
      <w:pPr>
        <w:spacing w:line="276" w:lineRule="auto"/>
        <w:ind w:firstLine="708"/>
        <w:jc w:val="both"/>
        <w:rPr>
          <w:szCs w:val="28"/>
        </w:rPr>
      </w:pPr>
      <w:r>
        <w:rPr>
          <w:szCs w:val="28"/>
        </w:rPr>
        <w:t>У 2022</w:t>
      </w:r>
      <w:r w:rsidR="001138E7" w:rsidRPr="009139BB">
        <w:rPr>
          <w:szCs w:val="28"/>
        </w:rPr>
        <w:t xml:space="preserve"> роц</w:t>
      </w:r>
      <w:r>
        <w:rPr>
          <w:szCs w:val="28"/>
        </w:rPr>
        <w:t xml:space="preserve">і на розгляд до суду надійшло </w:t>
      </w:r>
      <w:r w:rsidR="00BF251A">
        <w:rPr>
          <w:szCs w:val="28"/>
        </w:rPr>
        <w:t>6</w:t>
      </w:r>
      <w:r w:rsidR="001138E7" w:rsidRPr="009139BB">
        <w:rPr>
          <w:szCs w:val="28"/>
        </w:rPr>
        <w:t xml:space="preserve"> справ адміністративного судочинства</w:t>
      </w:r>
      <w:r w:rsidR="0073613C">
        <w:rPr>
          <w:szCs w:val="28"/>
        </w:rPr>
        <w:t>,</w:t>
      </w:r>
      <w:r w:rsidR="001138E7" w:rsidRPr="009139BB">
        <w:rPr>
          <w:szCs w:val="28"/>
        </w:rPr>
        <w:t xml:space="preserve"> враховуючи залишок справ на початок звітного періо</w:t>
      </w:r>
      <w:r>
        <w:rPr>
          <w:szCs w:val="28"/>
        </w:rPr>
        <w:t>ду на розгляді суду перебувало</w:t>
      </w:r>
      <w:r w:rsidR="00BF251A">
        <w:rPr>
          <w:szCs w:val="28"/>
        </w:rPr>
        <w:t xml:space="preserve"> 7</w:t>
      </w:r>
      <w:r w:rsidR="001138E7" w:rsidRPr="009139BB">
        <w:rPr>
          <w:szCs w:val="28"/>
        </w:rPr>
        <w:t xml:space="preserve"> адміністративних справ, що н</w:t>
      </w:r>
      <w:r w:rsidR="00BF251A">
        <w:rPr>
          <w:szCs w:val="28"/>
        </w:rPr>
        <w:t xml:space="preserve">а </w:t>
      </w:r>
      <w:r w:rsidR="00002D0A" w:rsidRPr="00002D0A">
        <w:rPr>
          <w:szCs w:val="28"/>
        </w:rPr>
        <w:t>46,6</w:t>
      </w:r>
      <w:r w:rsidR="00BF251A" w:rsidRPr="00002D0A">
        <w:rPr>
          <w:szCs w:val="28"/>
        </w:rPr>
        <w:t>%</w:t>
      </w:r>
      <w:r w:rsidR="00BF251A">
        <w:rPr>
          <w:szCs w:val="28"/>
        </w:rPr>
        <w:t xml:space="preserve"> менше, порівняно з 2021</w:t>
      </w:r>
      <w:r w:rsidR="001138E7" w:rsidRPr="009139BB">
        <w:rPr>
          <w:szCs w:val="28"/>
        </w:rPr>
        <w:t xml:space="preserve"> роком</w:t>
      </w:r>
      <w:r w:rsidR="009139BB">
        <w:rPr>
          <w:szCs w:val="28"/>
        </w:rPr>
        <w:t>.</w:t>
      </w:r>
    </w:p>
    <w:p w:rsidR="009139BB" w:rsidRPr="009139BB" w:rsidRDefault="00002D0A" w:rsidP="009B672C">
      <w:pPr>
        <w:spacing w:line="276" w:lineRule="auto"/>
        <w:ind w:firstLine="708"/>
        <w:jc w:val="both"/>
        <w:rPr>
          <w:szCs w:val="28"/>
        </w:rPr>
      </w:pPr>
      <w:r>
        <w:rPr>
          <w:szCs w:val="28"/>
        </w:rPr>
        <w:t>100 відсотків</w:t>
      </w:r>
      <w:r w:rsidR="009139BB" w:rsidRPr="009139BB">
        <w:rPr>
          <w:szCs w:val="28"/>
        </w:rPr>
        <w:t xml:space="preserve"> справ, що перебували в провадженні, становлять:</w:t>
      </w:r>
    </w:p>
    <w:p w:rsidR="009139BB" w:rsidRPr="009139BB" w:rsidRDefault="009139BB" w:rsidP="009B672C">
      <w:pPr>
        <w:spacing w:line="276" w:lineRule="auto"/>
        <w:ind w:firstLine="708"/>
        <w:jc w:val="both"/>
        <w:rPr>
          <w:szCs w:val="28"/>
        </w:rPr>
      </w:pPr>
      <w:r w:rsidRPr="00F649F4">
        <w:rPr>
          <w:szCs w:val="28"/>
        </w:rPr>
        <w:t>«Справи зі спорів з приводу забезпечення громадського порядку та безпеки, національної безпеки та оборони України» -, із них</w:t>
      </w:r>
      <w:r w:rsidRPr="009139BB">
        <w:rPr>
          <w:szCs w:val="28"/>
        </w:rPr>
        <w:t xml:space="preserve">: </w:t>
      </w:r>
    </w:p>
    <w:p w:rsidR="009139BB" w:rsidRPr="009139BB" w:rsidRDefault="009139BB" w:rsidP="009B672C">
      <w:pPr>
        <w:spacing w:line="276" w:lineRule="auto"/>
        <w:ind w:firstLine="708"/>
        <w:jc w:val="both"/>
        <w:rPr>
          <w:szCs w:val="28"/>
        </w:rPr>
      </w:pPr>
      <w:r w:rsidRPr="009139BB">
        <w:rPr>
          <w:szCs w:val="28"/>
        </w:rPr>
        <w:t xml:space="preserve"> -  справи щодо «дорожнього руху; транспорту та перевезення пасажирів»;</w:t>
      </w:r>
    </w:p>
    <w:p w:rsidR="009139BB" w:rsidRDefault="009139BB" w:rsidP="009139BB">
      <w:pPr>
        <w:spacing w:line="276" w:lineRule="auto"/>
        <w:ind w:firstLine="708"/>
        <w:jc w:val="both"/>
        <w:rPr>
          <w:szCs w:val="28"/>
        </w:rPr>
      </w:pPr>
    </w:p>
    <w:p w:rsidR="009139BB" w:rsidRDefault="00002D0A" w:rsidP="009139BB">
      <w:pPr>
        <w:spacing w:line="276" w:lineRule="auto"/>
        <w:ind w:firstLine="708"/>
        <w:jc w:val="both"/>
        <w:rPr>
          <w:szCs w:val="28"/>
        </w:rPr>
      </w:pPr>
      <w:r>
        <w:rPr>
          <w:noProof/>
          <w:szCs w:val="28"/>
          <w:lang w:eastAsia="uk-UA"/>
        </w:rPr>
        <w:drawing>
          <wp:inline distT="0" distB="0" distL="0" distR="0" wp14:anchorId="0BE6CF89" wp14:editId="30B48207">
            <wp:extent cx="5486400" cy="3200400"/>
            <wp:effectExtent l="0" t="0" r="1905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9BB" w:rsidRPr="009139BB" w:rsidRDefault="009139BB" w:rsidP="009139BB">
      <w:pPr>
        <w:spacing w:line="276" w:lineRule="auto"/>
        <w:ind w:firstLine="708"/>
        <w:jc w:val="both"/>
        <w:rPr>
          <w:szCs w:val="28"/>
        </w:rPr>
      </w:pPr>
    </w:p>
    <w:p w:rsidR="001138E7" w:rsidRDefault="001138E7" w:rsidP="001138E7">
      <w:pPr>
        <w:tabs>
          <w:tab w:val="left" w:pos="945"/>
        </w:tabs>
        <w:ind w:firstLine="708"/>
        <w:rPr>
          <w:sz w:val="32"/>
          <w:szCs w:val="32"/>
        </w:rPr>
      </w:pPr>
    </w:p>
    <w:p w:rsidR="009139BB" w:rsidRPr="00846340" w:rsidRDefault="00505318" w:rsidP="009B672C">
      <w:pPr>
        <w:tabs>
          <w:tab w:val="left" w:pos="945"/>
        </w:tabs>
        <w:spacing w:line="276" w:lineRule="auto"/>
        <w:ind w:firstLine="708"/>
        <w:jc w:val="both"/>
        <w:rPr>
          <w:b/>
          <w:szCs w:val="28"/>
        </w:rPr>
      </w:pPr>
      <w:r w:rsidRPr="00846340">
        <w:rPr>
          <w:szCs w:val="28"/>
        </w:rPr>
        <w:t xml:space="preserve">За звітний період кількість розглянутих справ адміністративного судочинства становить </w:t>
      </w:r>
      <w:r w:rsidR="00326ECC">
        <w:rPr>
          <w:szCs w:val="28"/>
        </w:rPr>
        <w:t>6</w:t>
      </w:r>
      <w:r w:rsidRPr="00846340">
        <w:rPr>
          <w:szCs w:val="28"/>
        </w:rPr>
        <w:t xml:space="preserve"> справ</w:t>
      </w:r>
      <w:r w:rsidR="004C377F" w:rsidRPr="00846340">
        <w:rPr>
          <w:szCs w:val="28"/>
        </w:rPr>
        <w:t xml:space="preserve"> </w:t>
      </w:r>
      <w:r w:rsidRPr="00846340">
        <w:rPr>
          <w:szCs w:val="28"/>
        </w:rPr>
        <w:t>-</w:t>
      </w:r>
      <w:r w:rsidR="004C377F" w:rsidRPr="00846340">
        <w:rPr>
          <w:szCs w:val="28"/>
        </w:rPr>
        <w:t xml:space="preserve"> </w:t>
      </w:r>
      <w:r w:rsidR="00326ECC">
        <w:rPr>
          <w:szCs w:val="28"/>
        </w:rPr>
        <w:t>85,7</w:t>
      </w:r>
      <w:r w:rsidRPr="00846340">
        <w:rPr>
          <w:szCs w:val="28"/>
        </w:rPr>
        <w:t>% від загальної кількості</w:t>
      </w:r>
      <w:r w:rsidR="004C377F" w:rsidRPr="00846340">
        <w:rPr>
          <w:szCs w:val="28"/>
        </w:rPr>
        <w:t xml:space="preserve"> справ, що перебували у провадженні, із них із прийняттям рішення - </w:t>
      </w:r>
      <w:r w:rsidR="00326ECC">
        <w:rPr>
          <w:szCs w:val="28"/>
        </w:rPr>
        <w:t>6</w:t>
      </w:r>
      <w:r w:rsidR="004C377F" w:rsidRPr="00846340">
        <w:rPr>
          <w:szCs w:val="28"/>
        </w:rPr>
        <w:t xml:space="preserve"> (</w:t>
      </w:r>
      <w:r w:rsidR="00326ECC">
        <w:rPr>
          <w:szCs w:val="28"/>
        </w:rPr>
        <w:t>100</w:t>
      </w:r>
      <w:r w:rsidR="004C377F" w:rsidRPr="00846340">
        <w:rPr>
          <w:szCs w:val="28"/>
        </w:rPr>
        <w:t xml:space="preserve">%) в тому числі із задоволенням позову </w:t>
      </w:r>
      <w:r w:rsidR="00326ECC">
        <w:rPr>
          <w:szCs w:val="28"/>
        </w:rPr>
        <w:t>4</w:t>
      </w:r>
      <w:r w:rsidR="00587D30">
        <w:rPr>
          <w:szCs w:val="28"/>
        </w:rPr>
        <w:t xml:space="preserve"> </w:t>
      </w:r>
      <w:r w:rsidR="00326ECC">
        <w:rPr>
          <w:szCs w:val="28"/>
        </w:rPr>
        <w:t>(66,6</w:t>
      </w:r>
      <w:r w:rsidR="004C377F" w:rsidRPr="00846340">
        <w:rPr>
          <w:szCs w:val="28"/>
        </w:rPr>
        <w:t>%), Залишилися нерозглянутими на кінець звітного періоду</w:t>
      </w:r>
      <w:r w:rsidR="00846340" w:rsidRPr="00846340">
        <w:rPr>
          <w:szCs w:val="28"/>
        </w:rPr>
        <w:t xml:space="preserve"> </w:t>
      </w:r>
      <w:r w:rsidR="004C377F" w:rsidRPr="00846340">
        <w:rPr>
          <w:szCs w:val="28"/>
        </w:rPr>
        <w:t xml:space="preserve">-1 справа, що становить </w:t>
      </w:r>
      <w:r w:rsidR="00326ECC">
        <w:rPr>
          <w:szCs w:val="28"/>
        </w:rPr>
        <w:t>14,3</w:t>
      </w:r>
      <w:r w:rsidR="004C377F" w:rsidRPr="00846340">
        <w:rPr>
          <w:szCs w:val="28"/>
        </w:rPr>
        <w:t>% від загальної кількості справ</w:t>
      </w:r>
      <w:r w:rsidR="00846340" w:rsidRPr="00846340">
        <w:rPr>
          <w:szCs w:val="28"/>
        </w:rPr>
        <w:t xml:space="preserve">, що перебували в </w:t>
      </w:r>
      <w:r w:rsidR="00326ECC">
        <w:rPr>
          <w:szCs w:val="28"/>
        </w:rPr>
        <w:t>провадженні. В порівнянні з 2021</w:t>
      </w:r>
      <w:r w:rsidR="004F4BCF">
        <w:rPr>
          <w:szCs w:val="28"/>
        </w:rPr>
        <w:t xml:space="preserve"> показник зменшився на 4</w:t>
      </w:r>
      <w:r w:rsidR="00846340" w:rsidRPr="00846340">
        <w:rPr>
          <w:szCs w:val="28"/>
        </w:rPr>
        <w:t>0%.</w:t>
      </w:r>
    </w:p>
    <w:p w:rsidR="00505BA7" w:rsidRPr="00505BA7" w:rsidRDefault="00505BA7" w:rsidP="00505BA7">
      <w:pPr>
        <w:ind w:firstLine="708"/>
        <w:jc w:val="center"/>
        <w:rPr>
          <w:b/>
          <w:sz w:val="32"/>
          <w:szCs w:val="32"/>
        </w:rPr>
      </w:pPr>
    </w:p>
    <w:p w:rsidR="00647A75" w:rsidRDefault="00647A75" w:rsidP="00E65B41">
      <w:pPr>
        <w:jc w:val="center"/>
        <w:rPr>
          <w:b/>
          <w:sz w:val="32"/>
          <w:szCs w:val="32"/>
        </w:rPr>
      </w:pPr>
    </w:p>
    <w:p w:rsidR="00E65B41" w:rsidRPr="00A246CD" w:rsidRDefault="00E65B41" w:rsidP="00E65B41">
      <w:pPr>
        <w:jc w:val="center"/>
        <w:rPr>
          <w:b/>
          <w:sz w:val="32"/>
          <w:szCs w:val="32"/>
        </w:rPr>
      </w:pPr>
      <w:r w:rsidRPr="00A246CD">
        <w:rPr>
          <w:b/>
          <w:sz w:val="32"/>
          <w:szCs w:val="32"/>
        </w:rPr>
        <w:t>ЦИВІЛЬНЕ СУДОЧИНСТВО</w:t>
      </w:r>
    </w:p>
    <w:p w:rsidR="00E65B41" w:rsidRDefault="00E65B41" w:rsidP="009B672C">
      <w:pPr>
        <w:jc w:val="both"/>
        <w:rPr>
          <w:b/>
          <w:sz w:val="32"/>
          <w:szCs w:val="32"/>
        </w:rPr>
      </w:pPr>
    </w:p>
    <w:p w:rsidR="00B210C7" w:rsidRPr="00F649F4" w:rsidRDefault="00D71596" w:rsidP="009B672C">
      <w:pPr>
        <w:spacing w:line="276" w:lineRule="auto"/>
        <w:ind w:firstLine="708"/>
        <w:jc w:val="both"/>
        <w:rPr>
          <w:szCs w:val="28"/>
        </w:rPr>
      </w:pPr>
      <w:r>
        <w:rPr>
          <w:szCs w:val="28"/>
        </w:rPr>
        <w:lastRenderedPageBreak/>
        <w:t>Впродовж 2022</w:t>
      </w:r>
      <w:r w:rsidR="00B210C7" w:rsidRPr="009B672C">
        <w:rPr>
          <w:szCs w:val="28"/>
        </w:rPr>
        <w:t xml:space="preserve"> року у провадженні Тростянецького район</w:t>
      </w:r>
      <w:r>
        <w:rPr>
          <w:szCs w:val="28"/>
        </w:rPr>
        <w:t>ного суду перебувало 719</w:t>
      </w:r>
      <w:r w:rsidR="00B210C7" w:rsidRPr="009B672C">
        <w:rPr>
          <w:szCs w:val="28"/>
        </w:rPr>
        <w:t xml:space="preserve"> справ та матеріалів, що розглядалися в порядку цивільного судочин</w:t>
      </w:r>
      <w:r w:rsidR="00F649F4">
        <w:rPr>
          <w:szCs w:val="28"/>
        </w:rPr>
        <w:t>с</w:t>
      </w:r>
      <w:r w:rsidR="00007721">
        <w:rPr>
          <w:szCs w:val="28"/>
        </w:rPr>
        <w:t>тва. Цей показник зменшився на 9,79</w:t>
      </w:r>
      <w:r w:rsidR="00B210C7" w:rsidRPr="009B672C">
        <w:rPr>
          <w:szCs w:val="28"/>
        </w:rPr>
        <w:t>%, порівняно з аналогічним звітним періо</w:t>
      </w:r>
      <w:r>
        <w:rPr>
          <w:szCs w:val="28"/>
        </w:rPr>
        <w:t>дом 2021 року (797</w:t>
      </w:r>
      <w:r w:rsidR="00F649F4">
        <w:rPr>
          <w:szCs w:val="28"/>
        </w:rPr>
        <w:t xml:space="preserve"> справа)</w:t>
      </w:r>
      <w:r w:rsidR="00587D30">
        <w:rPr>
          <w:szCs w:val="28"/>
        </w:rPr>
        <w:t>.</w:t>
      </w:r>
    </w:p>
    <w:p w:rsidR="00E65B41" w:rsidRPr="009B672C" w:rsidRDefault="00E65B41" w:rsidP="009B672C">
      <w:pPr>
        <w:spacing w:line="276" w:lineRule="auto"/>
        <w:ind w:firstLine="708"/>
        <w:jc w:val="both"/>
        <w:rPr>
          <w:szCs w:val="28"/>
        </w:rPr>
      </w:pPr>
      <w:r w:rsidRPr="009B672C">
        <w:rPr>
          <w:szCs w:val="28"/>
        </w:rPr>
        <w:t xml:space="preserve">Загальну кількість справ наказного, окремого, та позовного провадження, що перебували на розгляді </w:t>
      </w:r>
      <w:r w:rsidR="00007721">
        <w:rPr>
          <w:szCs w:val="28"/>
        </w:rPr>
        <w:t>2022</w:t>
      </w:r>
      <w:r w:rsidR="002E761A" w:rsidRPr="009B672C">
        <w:rPr>
          <w:szCs w:val="28"/>
        </w:rPr>
        <w:t xml:space="preserve"> року </w:t>
      </w:r>
      <w:r w:rsidR="00846340" w:rsidRPr="009B672C">
        <w:rPr>
          <w:szCs w:val="28"/>
        </w:rPr>
        <w:t>у Тростянецькому районному суді Вінницької області</w:t>
      </w:r>
      <w:r w:rsidRPr="009B672C">
        <w:rPr>
          <w:szCs w:val="28"/>
        </w:rPr>
        <w:t xml:space="preserve"> , відображено в діаграмі:</w:t>
      </w:r>
    </w:p>
    <w:p w:rsidR="00E65B41" w:rsidRPr="00A246CD" w:rsidRDefault="007B7356" w:rsidP="007B7356">
      <w:pPr>
        <w:ind w:firstLine="708"/>
        <w:rPr>
          <w:b/>
        </w:rPr>
      </w:pPr>
      <w:r>
        <w:rPr>
          <w:noProof/>
          <w:lang w:eastAsia="uk-UA"/>
        </w:rPr>
        <w:drawing>
          <wp:inline distT="0" distB="0" distL="0" distR="0" wp14:anchorId="4FAF4C57" wp14:editId="131082BF">
            <wp:extent cx="5486400" cy="3200400"/>
            <wp:effectExtent l="3810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5B41" w:rsidRPr="00A246CD" w:rsidRDefault="00E65B41" w:rsidP="00E65B41">
      <w:pPr>
        <w:rPr>
          <w:noProof/>
          <w:lang w:eastAsia="uk-UA"/>
        </w:rPr>
      </w:pPr>
    </w:p>
    <w:p w:rsidR="00E65B41" w:rsidRPr="00ED04E8" w:rsidRDefault="00E65B41" w:rsidP="00E65B41">
      <w:pPr>
        <w:spacing w:line="276" w:lineRule="auto"/>
        <w:ind w:firstLine="708"/>
        <w:jc w:val="both"/>
        <w:rPr>
          <w:szCs w:val="28"/>
        </w:rPr>
      </w:pPr>
      <w:r w:rsidRPr="00ED04E8">
        <w:rPr>
          <w:szCs w:val="28"/>
        </w:rPr>
        <w:t xml:space="preserve">Найбільшу кількість справ позовного провадження, що перебували на розгляді </w:t>
      </w:r>
      <w:r w:rsidR="00AC5143">
        <w:rPr>
          <w:szCs w:val="28"/>
        </w:rPr>
        <w:t>у суді</w:t>
      </w:r>
      <w:r w:rsidRPr="00ED04E8">
        <w:rPr>
          <w:szCs w:val="28"/>
        </w:rPr>
        <w:t>, як і в попередн</w:t>
      </w:r>
      <w:r>
        <w:rPr>
          <w:szCs w:val="28"/>
        </w:rPr>
        <w:t>і періоди,</w:t>
      </w:r>
      <w:r w:rsidRPr="00ED04E8">
        <w:rPr>
          <w:szCs w:val="28"/>
        </w:rPr>
        <w:t xml:space="preserve"> становлять справи, що виникають з сімейних правовідносин (</w:t>
      </w:r>
      <w:r w:rsidR="00F318E7">
        <w:rPr>
          <w:szCs w:val="28"/>
        </w:rPr>
        <w:t>47,29</w:t>
      </w:r>
      <w:r w:rsidRPr="00ED04E8">
        <w:rPr>
          <w:szCs w:val="28"/>
        </w:rPr>
        <w:t xml:space="preserve">%), спори що виникають із </w:t>
      </w:r>
      <w:r>
        <w:rPr>
          <w:szCs w:val="28"/>
        </w:rPr>
        <w:t>правочинів</w:t>
      </w:r>
      <w:r w:rsidRPr="00ED04E8">
        <w:rPr>
          <w:szCs w:val="28"/>
        </w:rPr>
        <w:t xml:space="preserve"> (</w:t>
      </w:r>
      <w:r w:rsidR="00F318E7">
        <w:rPr>
          <w:szCs w:val="28"/>
        </w:rPr>
        <w:t>23,65</w:t>
      </w:r>
      <w:r>
        <w:rPr>
          <w:szCs w:val="28"/>
        </w:rPr>
        <w:t xml:space="preserve"> </w:t>
      </w:r>
      <w:r w:rsidRPr="00ED04E8">
        <w:rPr>
          <w:szCs w:val="28"/>
        </w:rPr>
        <w:t xml:space="preserve">%), </w:t>
      </w:r>
      <w:r w:rsidR="00F318E7">
        <w:rPr>
          <w:szCs w:val="28"/>
        </w:rPr>
        <w:t xml:space="preserve">спори, що виникають із земельних відносин </w:t>
      </w:r>
      <w:r w:rsidR="002E761A">
        <w:rPr>
          <w:szCs w:val="28"/>
        </w:rPr>
        <w:t>(</w:t>
      </w:r>
      <w:r w:rsidR="00F318E7">
        <w:rPr>
          <w:szCs w:val="28"/>
        </w:rPr>
        <w:t>9,97</w:t>
      </w:r>
      <w:r w:rsidRPr="00ED04E8">
        <w:rPr>
          <w:szCs w:val="28"/>
        </w:rPr>
        <w:t>%).</w:t>
      </w:r>
    </w:p>
    <w:p w:rsidR="00E65B41" w:rsidRPr="00ED04E8" w:rsidRDefault="00E65B41" w:rsidP="00E65B41">
      <w:pPr>
        <w:spacing w:line="276" w:lineRule="auto"/>
        <w:ind w:firstLine="708"/>
        <w:jc w:val="both"/>
        <w:rPr>
          <w:szCs w:val="28"/>
        </w:rPr>
      </w:pPr>
    </w:p>
    <w:p w:rsidR="00E65B41" w:rsidRDefault="00E65B41" w:rsidP="00E65B41">
      <w:pPr>
        <w:spacing w:line="276" w:lineRule="auto"/>
        <w:ind w:firstLine="708"/>
        <w:jc w:val="both"/>
        <w:rPr>
          <w:szCs w:val="28"/>
        </w:rPr>
      </w:pPr>
      <w:r w:rsidRPr="00A246CD">
        <w:rPr>
          <w:szCs w:val="28"/>
        </w:rPr>
        <w:t>Структура цивільних справ</w:t>
      </w:r>
      <w:r w:rsidR="009B672C">
        <w:rPr>
          <w:szCs w:val="28"/>
        </w:rPr>
        <w:t>,</w:t>
      </w:r>
      <w:r w:rsidR="00FE1316">
        <w:rPr>
          <w:szCs w:val="28"/>
        </w:rPr>
        <w:t xml:space="preserve"> позовного, </w:t>
      </w:r>
      <w:r w:rsidRPr="00A246CD">
        <w:rPr>
          <w:szCs w:val="28"/>
        </w:rPr>
        <w:t xml:space="preserve">окремого </w:t>
      </w:r>
      <w:r w:rsidR="00FE1316">
        <w:rPr>
          <w:szCs w:val="28"/>
        </w:rPr>
        <w:t xml:space="preserve">та наказного </w:t>
      </w:r>
      <w:r w:rsidRPr="00A246CD">
        <w:rPr>
          <w:szCs w:val="28"/>
        </w:rPr>
        <w:t>провадження, що знаходились на р</w:t>
      </w:r>
      <w:r w:rsidR="00F649F4">
        <w:rPr>
          <w:szCs w:val="28"/>
        </w:rPr>
        <w:t>озгляді суду</w:t>
      </w:r>
      <w:r w:rsidRPr="00A246CD">
        <w:rPr>
          <w:szCs w:val="28"/>
        </w:rPr>
        <w:t xml:space="preserve"> у звітному періоді, за категоріями відображено у діаграмах:</w:t>
      </w:r>
    </w:p>
    <w:p w:rsidR="00647A75" w:rsidRDefault="00647A75" w:rsidP="00FE1316">
      <w:pPr>
        <w:ind w:firstLine="708"/>
        <w:jc w:val="center"/>
        <w:rPr>
          <w:b/>
        </w:rPr>
      </w:pPr>
    </w:p>
    <w:p w:rsidR="00647A75" w:rsidRDefault="00647A75" w:rsidP="00FE1316">
      <w:pPr>
        <w:ind w:firstLine="708"/>
        <w:jc w:val="center"/>
        <w:rPr>
          <w:b/>
        </w:rPr>
      </w:pPr>
    </w:p>
    <w:p w:rsidR="00647A75" w:rsidRDefault="00647A75" w:rsidP="00FE1316">
      <w:pPr>
        <w:ind w:firstLine="708"/>
        <w:jc w:val="center"/>
        <w:rPr>
          <w:b/>
        </w:rPr>
      </w:pPr>
    </w:p>
    <w:p w:rsidR="00647A75" w:rsidRDefault="00647A75" w:rsidP="00FE1316">
      <w:pPr>
        <w:ind w:firstLine="708"/>
        <w:jc w:val="center"/>
        <w:rPr>
          <w:b/>
        </w:rPr>
      </w:pPr>
    </w:p>
    <w:p w:rsidR="00647A75" w:rsidRDefault="00647A75" w:rsidP="00FE1316">
      <w:pPr>
        <w:ind w:firstLine="708"/>
        <w:jc w:val="center"/>
        <w:rPr>
          <w:b/>
        </w:rPr>
      </w:pPr>
    </w:p>
    <w:p w:rsidR="00E65B41" w:rsidRPr="00A246CD" w:rsidRDefault="00E65B41" w:rsidP="00FE1316">
      <w:pPr>
        <w:ind w:firstLine="708"/>
        <w:jc w:val="center"/>
        <w:rPr>
          <w:b/>
        </w:rPr>
      </w:pPr>
      <w:r w:rsidRPr="00A246CD">
        <w:rPr>
          <w:b/>
        </w:rPr>
        <w:t>Структура цивільних справ позовного провадження</w:t>
      </w:r>
    </w:p>
    <w:p w:rsidR="00E65B41" w:rsidRPr="00A246CD" w:rsidRDefault="00F318E7" w:rsidP="00FE1316">
      <w:pPr>
        <w:ind w:firstLine="708"/>
        <w:jc w:val="center"/>
        <w:rPr>
          <w:b/>
        </w:rPr>
      </w:pPr>
      <w:r>
        <w:rPr>
          <w:b/>
        </w:rPr>
        <w:t>у 2022</w:t>
      </w:r>
      <w:r w:rsidR="00E65B41" w:rsidRPr="00A246CD">
        <w:rPr>
          <w:b/>
        </w:rPr>
        <w:t xml:space="preserve"> році:</w:t>
      </w:r>
    </w:p>
    <w:p w:rsidR="00A50BCD" w:rsidRDefault="00856422" w:rsidP="00647A75">
      <w:pPr>
        <w:spacing w:line="276" w:lineRule="auto"/>
        <w:ind w:firstLine="708"/>
        <w:jc w:val="center"/>
        <w:rPr>
          <w:szCs w:val="28"/>
        </w:rPr>
      </w:pPr>
      <w:r>
        <w:rPr>
          <w:noProof/>
          <w:lang w:eastAsia="uk-UA"/>
        </w:rPr>
        <w:lastRenderedPageBreak/>
        <w:drawing>
          <wp:inline distT="0" distB="0" distL="0" distR="0">
            <wp:extent cx="5286375" cy="3514725"/>
            <wp:effectExtent l="0" t="0" r="0" b="0"/>
            <wp:docPr id="8" name="Диаграмма 1" descr="орп"/>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7A75" w:rsidRDefault="00647A75" w:rsidP="00A50BCD">
      <w:pPr>
        <w:spacing w:line="276" w:lineRule="auto"/>
        <w:ind w:firstLine="708"/>
        <w:jc w:val="both"/>
        <w:rPr>
          <w:szCs w:val="28"/>
        </w:rPr>
      </w:pPr>
    </w:p>
    <w:p w:rsidR="00A50BCD" w:rsidRPr="00ED04E8" w:rsidRDefault="00A50BCD" w:rsidP="00A50BCD">
      <w:pPr>
        <w:spacing w:line="276" w:lineRule="auto"/>
        <w:ind w:firstLine="708"/>
        <w:jc w:val="both"/>
        <w:rPr>
          <w:szCs w:val="28"/>
        </w:rPr>
      </w:pPr>
      <w:r w:rsidRPr="00ED04E8">
        <w:rPr>
          <w:szCs w:val="28"/>
        </w:rPr>
        <w:t>Серед справ окремого провадження, як і за попередні роки, найбільшу кількість становлять справи про встановлення фактів, що мають юридичне значення (</w:t>
      </w:r>
      <w:r w:rsidR="00342E92">
        <w:rPr>
          <w:szCs w:val="28"/>
        </w:rPr>
        <w:t>74</w:t>
      </w:r>
      <w:r>
        <w:rPr>
          <w:szCs w:val="28"/>
        </w:rPr>
        <w:t>,</w:t>
      </w:r>
      <w:r w:rsidR="00342E92">
        <w:rPr>
          <w:szCs w:val="28"/>
        </w:rPr>
        <w:t>2</w:t>
      </w:r>
      <w:r w:rsidR="00356627">
        <w:rPr>
          <w:szCs w:val="28"/>
        </w:rPr>
        <w:t>9</w:t>
      </w:r>
      <w:r w:rsidR="00634364">
        <w:rPr>
          <w:szCs w:val="28"/>
        </w:rPr>
        <w:t>%).</w:t>
      </w:r>
    </w:p>
    <w:p w:rsidR="00E65B41" w:rsidRDefault="00E65B41" w:rsidP="00E65B41">
      <w:pPr>
        <w:jc w:val="center"/>
        <w:rPr>
          <w:noProof/>
        </w:rPr>
      </w:pPr>
    </w:p>
    <w:p w:rsidR="00A50BCD" w:rsidRDefault="00634364" w:rsidP="00A50BCD">
      <w:pPr>
        <w:spacing w:line="276" w:lineRule="auto"/>
        <w:ind w:firstLine="708"/>
        <w:jc w:val="both"/>
        <w:rPr>
          <w:szCs w:val="28"/>
        </w:rPr>
      </w:pPr>
      <w:r w:rsidRPr="00024E1F">
        <w:rPr>
          <w:noProof/>
          <w:szCs w:val="28"/>
          <w:shd w:val="clear" w:color="auto" w:fill="1F497D" w:themeFill="text2"/>
          <w:lang w:eastAsia="uk-UA"/>
        </w:rPr>
        <w:drawing>
          <wp:inline distT="0" distB="0" distL="0" distR="0">
            <wp:extent cx="5486400" cy="3419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0BCD" w:rsidRDefault="00A50BCD" w:rsidP="00A50BCD">
      <w:pPr>
        <w:spacing w:line="276" w:lineRule="auto"/>
        <w:ind w:firstLine="708"/>
        <w:jc w:val="both"/>
        <w:rPr>
          <w:szCs w:val="28"/>
        </w:rPr>
      </w:pPr>
      <w:r w:rsidRPr="00ED04E8">
        <w:rPr>
          <w:szCs w:val="28"/>
        </w:rPr>
        <w:t xml:space="preserve">Серед справ </w:t>
      </w:r>
      <w:r>
        <w:rPr>
          <w:szCs w:val="28"/>
        </w:rPr>
        <w:t>наказного</w:t>
      </w:r>
      <w:r w:rsidRPr="00ED04E8">
        <w:rPr>
          <w:szCs w:val="28"/>
        </w:rPr>
        <w:t xml:space="preserve"> про</w:t>
      </w:r>
      <w:r>
        <w:rPr>
          <w:szCs w:val="28"/>
        </w:rPr>
        <w:t>вадження</w:t>
      </w:r>
      <w:r w:rsidRPr="00ED04E8">
        <w:rPr>
          <w:szCs w:val="28"/>
        </w:rPr>
        <w:t xml:space="preserve">, найбільшу кількість становлять справи про </w:t>
      </w:r>
      <w:r>
        <w:rPr>
          <w:szCs w:val="28"/>
        </w:rPr>
        <w:t>видачу (</w:t>
      </w:r>
      <w:r w:rsidR="00651F99">
        <w:rPr>
          <w:szCs w:val="28"/>
        </w:rPr>
        <w:t>98,7</w:t>
      </w:r>
      <w:r>
        <w:rPr>
          <w:szCs w:val="28"/>
        </w:rPr>
        <w:t>%) та скасування (</w:t>
      </w:r>
      <w:r w:rsidR="00651F99">
        <w:rPr>
          <w:szCs w:val="28"/>
        </w:rPr>
        <w:t>1,3%) судового наказу, із них 91,3</w:t>
      </w:r>
      <w:r>
        <w:rPr>
          <w:szCs w:val="28"/>
        </w:rPr>
        <w:t>% судові накази на стягнення заборгованості за житлово-к</w:t>
      </w:r>
      <w:r w:rsidR="00651F99">
        <w:rPr>
          <w:szCs w:val="28"/>
        </w:rPr>
        <w:t>омунальні послуги, 7</w:t>
      </w:r>
      <w:r w:rsidR="004731D7">
        <w:rPr>
          <w:szCs w:val="28"/>
        </w:rPr>
        <w:t>,4</w:t>
      </w:r>
      <w:r w:rsidR="00651F99">
        <w:rPr>
          <w:szCs w:val="28"/>
        </w:rPr>
        <w:t>2</w:t>
      </w:r>
      <w:r>
        <w:rPr>
          <w:szCs w:val="28"/>
        </w:rPr>
        <w:t xml:space="preserve">% судові </w:t>
      </w:r>
      <w:r>
        <w:rPr>
          <w:szCs w:val="28"/>
        </w:rPr>
        <w:lastRenderedPageBreak/>
        <w:t>накази про стягнення аліментів</w:t>
      </w:r>
      <w:r w:rsidR="004731D7">
        <w:rPr>
          <w:szCs w:val="28"/>
        </w:rPr>
        <w:t xml:space="preserve"> на одну дитину у розмірі ¼.на двох дітей у розмірі 1/3</w:t>
      </w:r>
      <w:r w:rsidR="00BE1DE5">
        <w:rPr>
          <w:szCs w:val="28"/>
        </w:rPr>
        <w:t xml:space="preserve"> на трьох і б</w:t>
      </w:r>
      <w:r w:rsidR="004731D7">
        <w:rPr>
          <w:szCs w:val="28"/>
        </w:rPr>
        <w:t>ільше дітей ½ частини заробітку (доходу) платника аліментів</w:t>
      </w:r>
      <w:r w:rsidR="00651F99">
        <w:rPr>
          <w:szCs w:val="28"/>
        </w:rPr>
        <w:t xml:space="preserve"> та 1,31% судові накази про стягнення нарахованої але не виплаченої працівникові суми зарплати.</w:t>
      </w:r>
    </w:p>
    <w:p w:rsidR="00E65B41" w:rsidRPr="00A50BCD" w:rsidRDefault="00E65B41" w:rsidP="00E65B41">
      <w:pPr>
        <w:jc w:val="center"/>
        <w:rPr>
          <w:noProof/>
        </w:rPr>
      </w:pPr>
    </w:p>
    <w:p w:rsidR="00E65B41" w:rsidRDefault="00E65B41" w:rsidP="00E65B41">
      <w:pPr>
        <w:jc w:val="both"/>
        <w:rPr>
          <w:b/>
          <w:szCs w:val="28"/>
        </w:rPr>
      </w:pPr>
    </w:p>
    <w:p w:rsidR="002375FD" w:rsidRDefault="00424597" w:rsidP="00E65B41">
      <w:pPr>
        <w:ind w:firstLine="709"/>
        <w:jc w:val="both"/>
        <w:rPr>
          <w:szCs w:val="28"/>
        </w:rPr>
      </w:pPr>
      <w:r w:rsidRPr="00024E1F">
        <w:rPr>
          <w:noProof/>
          <w:szCs w:val="28"/>
          <w:highlight w:val="yellow"/>
          <w:shd w:val="clear" w:color="auto" w:fill="FFFF00"/>
          <w:lang w:eastAsia="uk-UA"/>
        </w:rPr>
        <w:drawing>
          <wp:inline distT="0" distB="0" distL="0" distR="0" wp14:anchorId="09E16059" wp14:editId="2639E0E5">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75FD" w:rsidRDefault="002375FD" w:rsidP="00E65B41">
      <w:pPr>
        <w:ind w:firstLine="709"/>
        <w:jc w:val="both"/>
        <w:rPr>
          <w:szCs w:val="28"/>
        </w:rPr>
      </w:pPr>
    </w:p>
    <w:p w:rsidR="00C0679D" w:rsidRDefault="00A50BCD" w:rsidP="00C0679D">
      <w:pPr>
        <w:autoSpaceDE w:val="0"/>
        <w:spacing w:before="280" w:after="280" w:line="276" w:lineRule="auto"/>
        <w:ind w:firstLine="567"/>
        <w:jc w:val="both"/>
        <w:rPr>
          <w:szCs w:val="28"/>
        </w:rPr>
      </w:pPr>
      <w:r>
        <w:rPr>
          <w:szCs w:val="28"/>
        </w:rPr>
        <w:t>У</w:t>
      </w:r>
      <w:r w:rsidR="00C0679D">
        <w:rPr>
          <w:szCs w:val="28"/>
        </w:rPr>
        <w:t xml:space="preserve"> </w:t>
      </w:r>
      <w:r w:rsidR="00587D30">
        <w:rPr>
          <w:szCs w:val="28"/>
        </w:rPr>
        <w:t>202</w:t>
      </w:r>
      <w:r w:rsidR="00284CBF">
        <w:rPr>
          <w:szCs w:val="28"/>
        </w:rPr>
        <w:t>1</w:t>
      </w:r>
      <w:r>
        <w:rPr>
          <w:szCs w:val="28"/>
        </w:rPr>
        <w:t xml:space="preserve"> році</w:t>
      </w:r>
      <w:r w:rsidR="00C0679D">
        <w:rPr>
          <w:szCs w:val="28"/>
        </w:rPr>
        <w:t xml:space="preserve"> також переважну більшість </w:t>
      </w:r>
      <w:r w:rsidR="007C7EDA">
        <w:rPr>
          <w:szCs w:val="28"/>
        </w:rPr>
        <w:t>справ наказного провадження (129</w:t>
      </w:r>
      <w:r w:rsidR="00C0679D">
        <w:rPr>
          <w:szCs w:val="28"/>
        </w:rPr>
        <w:t xml:space="preserve">) складали </w:t>
      </w:r>
      <w:r>
        <w:rPr>
          <w:szCs w:val="28"/>
        </w:rPr>
        <w:t xml:space="preserve">справи щодо стягнення заборгованості за </w:t>
      </w:r>
      <w:r w:rsidR="007C7EDA">
        <w:rPr>
          <w:szCs w:val="28"/>
        </w:rPr>
        <w:t>житлово-комунальні послуги (74,4</w:t>
      </w:r>
      <w:r>
        <w:rPr>
          <w:szCs w:val="28"/>
        </w:rPr>
        <w:t>%), щодо стягнення аліментів (</w:t>
      </w:r>
      <w:r w:rsidR="007C7EDA">
        <w:rPr>
          <w:szCs w:val="28"/>
        </w:rPr>
        <w:t>12,4</w:t>
      </w:r>
      <w:r>
        <w:rPr>
          <w:szCs w:val="28"/>
        </w:rPr>
        <w:t>%</w:t>
      </w:r>
      <w:r w:rsidR="007C7EDA">
        <w:rPr>
          <w:szCs w:val="28"/>
        </w:rPr>
        <w:t xml:space="preserve"> та 0,7%</w:t>
      </w:r>
      <w:r>
        <w:rPr>
          <w:szCs w:val="28"/>
        </w:rPr>
        <w:t>)</w:t>
      </w:r>
      <w:r w:rsidR="00C0679D">
        <w:rPr>
          <w:szCs w:val="28"/>
        </w:rPr>
        <w:t xml:space="preserve">. </w:t>
      </w:r>
    </w:p>
    <w:p w:rsidR="00647A75" w:rsidRDefault="00647A75" w:rsidP="00EB2567">
      <w:pPr>
        <w:pStyle w:val="a5"/>
        <w:jc w:val="center"/>
        <w:rPr>
          <w:b/>
          <w:bCs/>
        </w:rPr>
      </w:pPr>
    </w:p>
    <w:p w:rsidR="00EB2567" w:rsidRPr="00ED04E8" w:rsidRDefault="00EB2567" w:rsidP="00EB2567">
      <w:pPr>
        <w:pStyle w:val="a5"/>
        <w:jc w:val="center"/>
        <w:rPr>
          <w:b/>
          <w:bCs/>
        </w:rPr>
      </w:pPr>
      <w:r>
        <w:rPr>
          <w:b/>
          <w:bCs/>
        </w:rPr>
        <w:t xml:space="preserve">КРИМІНАЛЬНЕ </w:t>
      </w:r>
      <w:r w:rsidRPr="00ED04E8">
        <w:rPr>
          <w:b/>
          <w:bCs/>
        </w:rPr>
        <w:t>СУДОЧИНСТВО</w:t>
      </w:r>
    </w:p>
    <w:p w:rsidR="00EB2567" w:rsidRPr="000B23E2" w:rsidRDefault="00EB2567" w:rsidP="00EB2567">
      <w:pPr>
        <w:pStyle w:val="a5"/>
        <w:rPr>
          <w:szCs w:val="28"/>
        </w:rPr>
      </w:pPr>
      <w:r w:rsidRPr="00ED04E8">
        <w:tab/>
      </w:r>
      <w:r w:rsidRPr="00ED04E8">
        <w:tab/>
      </w:r>
    </w:p>
    <w:p w:rsidR="00EB2567" w:rsidRPr="00841EB4" w:rsidRDefault="00EB2567" w:rsidP="00EB2567">
      <w:pPr>
        <w:spacing w:line="276" w:lineRule="auto"/>
        <w:jc w:val="both"/>
      </w:pPr>
      <w:r w:rsidRPr="00ED04E8">
        <w:tab/>
      </w:r>
      <w:r w:rsidR="007C7EDA">
        <w:t xml:space="preserve">У 2022 </w:t>
      </w:r>
      <w:r w:rsidRPr="00841EB4">
        <w:rPr>
          <w:szCs w:val="28"/>
        </w:rPr>
        <w:t xml:space="preserve"> році</w:t>
      </w:r>
      <w:r w:rsidRPr="00841EB4">
        <w:t xml:space="preserve"> в </w:t>
      </w:r>
      <w:r w:rsidR="007C7EDA">
        <w:t>провадженні суду знаходилось 112</w:t>
      </w:r>
      <w:r w:rsidRPr="00841EB4">
        <w:t xml:space="preserve"> кримінальних проваджень, даний показник </w:t>
      </w:r>
      <w:r w:rsidR="007C7EDA">
        <w:t xml:space="preserve">зменшився </w:t>
      </w:r>
      <w:r w:rsidRPr="00841EB4">
        <w:t xml:space="preserve"> </w:t>
      </w:r>
      <w:r w:rsidRPr="00686599">
        <w:t xml:space="preserve">на </w:t>
      </w:r>
      <w:r w:rsidR="00A35547">
        <w:t>3,45</w:t>
      </w:r>
      <w:r w:rsidRPr="00686599">
        <w:t>%</w:t>
      </w:r>
      <w:r w:rsidRPr="00841EB4">
        <w:t xml:space="preserve"> порівняно  з </w:t>
      </w:r>
      <w:r w:rsidR="007C7EDA">
        <w:rPr>
          <w:szCs w:val="28"/>
        </w:rPr>
        <w:t>2021</w:t>
      </w:r>
      <w:r w:rsidRPr="00841EB4">
        <w:rPr>
          <w:szCs w:val="28"/>
        </w:rPr>
        <w:t xml:space="preserve"> роком –  </w:t>
      </w:r>
      <w:r w:rsidR="007C7EDA">
        <w:t>116 кримінальних проваджень</w:t>
      </w:r>
      <w:r w:rsidRPr="00841EB4">
        <w:t>.</w:t>
      </w:r>
      <w:r w:rsidRPr="00841EB4">
        <w:tab/>
      </w:r>
    </w:p>
    <w:p w:rsidR="00EB2567" w:rsidRPr="00841EB4" w:rsidRDefault="00EB2567" w:rsidP="00EB2567">
      <w:pPr>
        <w:spacing w:line="276" w:lineRule="auto"/>
        <w:ind w:firstLine="708"/>
        <w:jc w:val="both"/>
      </w:pPr>
      <w:r w:rsidRPr="00841EB4">
        <w:t xml:space="preserve">Впродовж звітного періоду судом розглянуто </w:t>
      </w:r>
      <w:r w:rsidR="00D76206">
        <w:t>85 проваджень</w:t>
      </w:r>
      <w:r w:rsidRPr="00841EB4">
        <w:t>, що становить</w:t>
      </w:r>
      <w:r w:rsidR="00D76206">
        <w:rPr>
          <w:lang w:val="ru-RU"/>
        </w:rPr>
        <w:t xml:space="preserve"> 75,89</w:t>
      </w:r>
      <w:r w:rsidRPr="00841EB4">
        <w:rPr>
          <w:lang w:val="ru-RU"/>
        </w:rPr>
        <w:t>%</w:t>
      </w:r>
      <w:r w:rsidRPr="00841EB4">
        <w:t xml:space="preserve"> від справ, що перебували на розгляді, з яких </w:t>
      </w:r>
      <w:r w:rsidR="00D76206">
        <w:t>69</w:t>
      </w:r>
      <w:r w:rsidRPr="00841EB4">
        <w:t xml:space="preserve"> розглянуто з постановленням  </w:t>
      </w:r>
      <w:proofErr w:type="spellStart"/>
      <w:r w:rsidRPr="00841EB4">
        <w:t>вироку</w:t>
      </w:r>
      <w:proofErr w:type="spellEnd"/>
      <w:r w:rsidRPr="00841EB4">
        <w:t>, в</w:t>
      </w:r>
      <w:r w:rsidR="00D76206">
        <w:t xml:space="preserve"> 5</w:t>
      </w:r>
      <w:r w:rsidRPr="00841EB4">
        <w:t xml:space="preserve"> з них затверджено угоду.</w:t>
      </w:r>
    </w:p>
    <w:p w:rsidR="00EB2567" w:rsidRDefault="00EB2567" w:rsidP="00EB2567">
      <w:pPr>
        <w:spacing w:line="276" w:lineRule="auto"/>
        <w:ind w:firstLine="708"/>
        <w:jc w:val="both"/>
      </w:pPr>
      <w:r w:rsidRPr="00841EB4">
        <w:t xml:space="preserve">Найбільшу кількість розглянутих судом кримінальних проваджень становлять справи про: злочини проти власності – </w:t>
      </w:r>
      <w:r w:rsidR="006F01B1">
        <w:t>14</w:t>
      </w:r>
      <w:r w:rsidRPr="00841EB4">
        <w:t xml:space="preserve"> (</w:t>
      </w:r>
      <w:r w:rsidR="006F01B1">
        <w:t>16,5</w:t>
      </w:r>
      <w:r w:rsidRPr="00841EB4">
        <w:t>%), злочини пр</w:t>
      </w:r>
      <w:r w:rsidR="006F01B1">
        <w:t>оти життя та здоров'я особи – 21 (24,</w:t>
      </w:r>
      <w:r w:rsidRPr="00841EB4">
        <w:t xml:space="preserve">7%), злочини у сфері обігу наркотичних засобів – </w:t>
      </w:r>
      <w:r w:rsidR="006F01B1">
        <w:t>26 (30,6</w:t>
      </w:r>
      <w:r w:rsidRPr="00841EB4">
        <w:t xml:space="preserve">%). </w:t>
      </w:r>
    </w:p>
    <w:p w:rsidR="005727BA" w:rsidRDefault="005727BA" w:rsidP="00EB2567">
      <w:pPr>
        <w:spacing w:line="276" w:lineRule="auto"/>
        <w:ind w:firstLine="708"/>
        <w:jc w:val="both"/>
      </w:pPr>
    </w:p>
    <w:p w:rsidR="00EB2567" w:rsidRDefault="005727BA" w:rsidP="00EB2567">
      <w:pPr>
        <w:spacing w:line="276" w:lineRule="auto"/>
        <w:ind w:firstLine="708"/>
        <w:jc w:val="both"/>
        <w:rPr>
          <w:b/>
        </w:rPr>
      </w:pPr>
      <w:r>
        <w:t xml:space="preserve">                 </w:t>
      </w:r>
      <w:r w:rsidRPr="005727BA">
        <w:rPr>
          <w:b/>
        </w:rPr>
        <w:t>Структура видів кримінальних злочинів</w:t>
      </w:r>
    </w:p>
    <w:p w:rsidR="0052150D" w:rsidRDefault="0052150D" w:rsidP="00EB2567">
      <w:pPr>
        <w:spacing w:line="276" w:lineRule="auto"/>
        <w:ind w:firstLine="708"/>
        <w:jc w:val="both"/>
        <w:rPr>
          <w:b/>
        </w:rPr>
      </w:pPr>
      <w:r>
        <w:t>Д</w:t>
      </w:r>
      <w:r w:rsidRPr="0052150D">
        <w:t>ані представлені в таблиці  ілюструють показники щодо загальної кількості кримінальних проваджень, питому вагу та дин</w:t>
      </w:r>
      <w:r w:rsidR="006F01B1">
        <w:t>аміку змін видів злочинів у 2022 році в порівнянні з 2021</w:t>
      </w:r>
      <w:r w:rsidRPr="0052150D">
        <w:t xml:space="preserve"> роком</w:t>
      </w:r>
    </w:p>
    <w:p w:rsidR="005727BA" w:rsidRPr="005727BA" w:rsidRDefault="005727BA" w:rsidP="00EB2567">
      <w:pPr>
        <w:spacing w:line="276" w:lineRule="auto"/>
        <w:ind w:firstLine="708"/>
        <w:jc w:val="both"/>
        <w:rPr>
          <w:b/>
        </w:rPr>
      </w:pPr>
    </w:p>
    <w:tbl>
      <w:tblPr>
        <w:tblW w:w="0" w:type="auto"/>
        <w:jc w:val="center"/>
        <w:tblLayout w:type="fixed"/>
        <w:tblLook w:val="0000" w:firstRow="0" w:lastRow="0" w:firstColumn="0" w:lastColumn="0" w:noHBand="0" w:noVBand="0"/>
      </w:tblPr>
      <w:tblGrid>
        <w:gridCol w:w="2996"/>
        <w:gridCol w:w="1381"/>
        <w:gridCol w:w="1304"/>
        <w:gridCol w:w="1248"/>
        <w:gridCol w:w="1417"/>
        <w:gridCol w:w="1418"/>
      </w:tblGrid>
      <w:tr w:rsidR="003375CC" w:rsidTr="003375CC">
        <w:trPr>
          <w:cantSplit/>
          <w:trHeight w:hRule="exact" w:val="635"/>
          <w:jc w:val="center"/>
        </w:trPr>
        <w:tc>
          <w:tcPr>
            <w:tcW w:w="2996" w:type="dxa"/>
            <w:vMerge w:val="restart"/>
            <w:tcBorders>
              <w:top w:val="single" w:sz="4" w:space="0" w:color="000000"/>
              <w:left w:val="single" w:sz="4" w:space="0" w:color="000000"/>
              <w:bottom w:val="single" w:sz="4" w:space="0" w:color="000000"/>
            </w:tcBorders>
            <w:shd w:val="clear" w:color="auto" w:fill="DBE5F1" w:themeFill="accent1" w:themeFillTint="33"/>
          </w:tcPr>
          <w:p w:rsidR="003375CC" w:rsidRDefault="003375CC" w:rsidP="009F7C05">
            <w:pPr>
              <w:autoSpaceDE w:val="0"/>
              <w:snapToGrid w:val="0"/>
              <w:jc w:val="center"/>
              <w:rPr>
                <w:b/>
                <w:szCs w:val="28"/>
              </w:rPr>
            </w:pPr>
            <w:r>
              <w:rPr>
                <w:b/>
                <w:szCs w:val="28"/>
              </w:rPr>
              <w:t>Види злочинів</w:t>
            </w:r>
          </w:p>
        </w:tc>
        <w:tc>
          <w:tcPr>
            <w:tcW w:w="6768" w:type="dxa"/>
            <w:gridSpan w:val="5"/>
            <w:tcBorders>
              <w:top w:val="single" w:sz="4" w:space="0" w:color="000000"/>
              <w:left w:val="single" w:sz="4" w:space="0" w:color="000000"/>
              <w:bottom w:val="single" w:sz="4" w:space="0" w:color="000000"/>
              <w:right w:val="single" w:sz="4" w:space="0" w:color="000000"/>
            </w:tcBorders>
            <w:shd w:val="clear" w:color="auto" w:fill="BBF2F3"/>
          </w:tcPr>
          <w:p w:rsidR="003375CC" w:rsidRDefault="003375CC" w:rsidP="009F7C05">
            <w:pPr>
              <w:autoSpaceDE w:val="0"/>
              <w:snapToGrid w:val="0"/>
              <w:jc w:val="center"/>
              <w:rPr>
                <w:b/>
                <w:szCs w:val="28"/>
              </w:rPr>
            </w:pPr>
            <w:r>
              <w:rPr>
                <w:b/>
                <w:szCs w:val="28"/>
              </w:rPr>
              <w:t>Знаходилося на розгляді кримінальних проваджень</w:t>
            </w:r>
          </w:p>
        </w:tc>
      </w:tr>
      <w:tr w:rsidR="00EB2567" w:rsidTr="003375CC">
        <w:trPr>
          <w:cantSplit/>
          <w:jc w:val="center"/>
        </w:trPr>
        <w:tc>
          <w:tcPr>
            <w:tcW w:w="2996" w:type="dxa"/>
            <w:vMerge/>
            <w:tcBorders>
              <w:top w:val="single" w:sz="4" w:space="0" w:color="000000"/>
              <w:left w:val="single" w:sz="4" w:space="0" w:color="000000"/>
              <w:bottom w:val="single" w:sz="4" w:space="0" w:color="000000"/>
            </w:tcBorders>
            <w:shd w:val="clear" w:color="auto" w:fill="DBE5F1" w:themeFill="accent1" w:themeFillTint="33"/>
          </w:tcPr>
          <w:p w:rsidR="00EB2567" w:rsidRDefault="00EB2567" w:rsidP="009F7C05"/>
        </w:tc>
        <w:tc>
          <w:tcPr>
            <w:tcW w:w="1381" w:type="dxa"/>
            <w:tcBorders>
              <w:left w:val="single" w:sz="4" w:space="0" w:color="000000"/>
              <w:bottom w:val="single" w:sz="4" w:space="0" w:color="000000"/>
            </w:tcBorders>
            <w:shd w:val="clear" w:color="auto" w:fill="BBF2F3"/>
          </w:tcPr>
          <w:p w:rsidR="00EB2567" w:rsidRDefault="003375CC" w:rsidP="003375CC">
            <w:pPr>
              <w:autoSpaceDE w:val="0"/>
              <w:snapToGrid w:val="0"/>
              <w:jc w:val="center"/>
              <w:rPr>
                <w:b/>
              </w:rPr>
            </w:pPr>
            <w:r>
              <w:rPr>
                <w:b/>
              </w:rPr>
              <w:t>202</w:t>
            </w:r>
            <w:r w:rsidR="006F01B1">
              <w:rPr>
                <w:b/>
              </w:rPr>
              <w:t>1</w:t>
            </w:r>
          </w:p>
        </w:tc>
        <w:tc>
          <w:tcPr>
            <w:tcW w:w="1304" w:type="dxa"/>
            <w:tcBorders>
              <w:left w:val="single" w:sz="4" w:space="0" w:color="000000"/>
              <w:bottom w:val="single" w:sz="4" w:space="0" w:color="000000"/>
            </w:tcBorders>
            <w:shd w:val="clear" w:color="auto" w:fill="C6D9F1" w:themeFill="text2" w:themeFillTint="33"/>
          </w:tcPr>
          <w:p w:rsidR="003375CC" w:rsidRDefault="003375CC" w:rsidP="003375CC">
            <w:pPr>
              <w:autoSpaceDE w:val="0"/>
              <w:snapToGrid w:val="0"/>
              <w:jc w:val="center"/>
              <w:rPr>
                <w:b/>
              </w:rPr>
            </w:pPr>
            <w:r>
              <w:rPr>
                <w:b/>
              </w:rPr>
              <w:t>Питома вага</w:t>
            </w:r>
          </w:p>
          <w:p w:rsidR="00EB2567" w:rsidRDefault="00EB2567" w:rsidP="003375CC">
            <w:pPr>
              <w:autoSpaceDE w:val="0"/>
              <w:snapToGrid w:val="0"/>
              <w:jc w:val="center"/>
              <w:rPr>
                <w:b/>
              </w:rPr>
            </w:pPr>
            <w:r>
              <w:rPr>
                <w:b/>
              </w:rPr>
              <w:t>%</w:t>
            </w:r>
          </w:p>
        </w:tc>
        <w:tc>
          <w:tcPr>
            <w:tcW w:w="1248" w:type="dxa"/>
            <w:tcBorders>
              <w:left w:val="single" w:sz="4" w:space="0" w:color="000000"/>
              <w:bottom w:val="single" w:sz="4" w:space="0" w:color="000000"/>
            </w:tcBorders>
            <w:shd w:val="clear" w:color="auto" w:fill="BBF2F3"/>
          </w:tcPr>
          <w:p w:rsidR="00EB2567" w:rsidRDefault="003375CC" w:rsidP="003375CC">
            <w:pPr>
              <w:autoSpaceDE w:val="0"/>
              <w:snapToGrid w:val="0"/>
              <w:jc w:val="center"/>
              <w:rPr>
                <w:b/>
              </w:rPr>
            </w:pPr>
            <w:r>
              <w:rPr>
                <w:b/>
              </w:rPr>
              <w:t>202</w:t>
            </w:r>
            <w:r w:rsidR="006F01B1">
              <w:rPr>
                <w:b/>
              </w:rPr>
              <w:t>2</w:t>
            </w:r>
          </w:p>
        </w:tc>
        <w:tc>
          <w:tcPr>
            <w:tcW w:w="1417" w:type="dxa"/>
            <w:tcBorders>
              <w:left w:val="single" w:sz="4" w:space="0" w:color="000000"/>
              <w:bottom w:val="single" w:sz="4" w:space="0" w:color="000000"/>
            </w:tcBorders>
            <w:shd w:val="clear" w:color="auto" w:fill="C6D9F1" w:themeFill="text2" w:themeFillTint="33"/>
          </w:tcPr>
          <w:p w:rsidR="003375CC" w:rsidRDefault="003375CC" w:rsidP="003375CC">
            <w:pPr>
              <w:autoSpaceDE w:val="0"/>
              <w:snapToGrid w:val="0"/>
              <w:jc w:val="center"/>
              <w:rPr>
                <w:b/>
              </w:rPr>
            </w:pPr>
            <w:r>
              <w:rPr>
                <w:b/>
              </w:rPr>
              <w:t>Питома вага</w:t>
            </w:r>
          </w:p>
          <w:p w:rsidR="00EB2567" w:rsidRDefault="00EB2567" w:rsidP="003375CC">
            <w:pPr>
              <w:autoSpaceDE w:val="0"/>
              <w:snapToGrid w:val="0"/>
              <w:jc w:val="center"/>
              <w:rPr>
                <w:b/>
              </w:rPr>
            </w:pPr>
            <w:r>
              <w:rPr>
                <w:b/>
              </w:rPr>
              <w:t>%</w:t>
            </w:r>
          </w:p>
        </w:tc>
        <w:tc>
          <w:tcPr>
            <w:tcW w:w="1418" w:type="dxa"/>
            <w:tcBorders>
              <w:left w:val="single" w:sz="4" w:space="0" w:color="000000"/>
              <w:bottom w:val="single" w:sz="4" w:space="0" w:color="000000"/>
              <w:right w:val="single" w:sz="4" w:space="0" w:color="000000"/>
            </w:tcBorders>
            <w:shd w:val="clear" w:color="auto" w:fill="BBF2F3"/>
          </w:tcPr>
          <w:p w:rsidR="00EB2567" w:rsidRDefault="003375CC" w:rsidP="003375CC">
            <w:pPr>
              <w:autoSpaceDE w:val="0"/>
              <w:snapToGrid w:val="0"/>
              <w:jc w:val="center"/>
              <w:rPr>
                <w:b/>
                <w:szCs w:val="28"/>
              </w:rPr>
            </w:pPr>
            <w:r>
              <w:rPr>
                <w:b/>
                <w:szCs w:val="28"/>
              </w:rPr>
              <w:t>Темпи приросту(</w:t>
            </w:r>
            <w:r w:rsidR="00EB2567">
              <w:rPr>
                <w:b/>
                <w:szCs w:val="28"/>
              </w:rPr>
              <w:t>+/-</w:t>
            </w:r>
            <w:r>
              <w:rPr>
                <w:b/>
                <w:szCs w:val="28"/>
              </w:rPr>
              <w:t>)</w:t>
            </w:r>
          </w:p>
        </w:tc>
      </w:tr>
      <w:tr w:rsidR="00EB2567" w:rsidTr="003375CC">
        <w:trPr>
          <w:jc w:val="center"/>
        </w:trPr>
        <w:tc>
          <w:tcPr>
            <w:tcW w:w="2996" w:type="dxa"/>
            <w:tcBorders>
              <w:left w:val="single" w:sz="4" w:space="0" w:color="000000"/>
              <w:bottom w:val="single" w:sz="4" w:space="0" w:color="000000"/>
            </w:tcBorders>
            <w:shd w:val="clear" w:color="auto" w:fill="DBE5F1" w:themeFill="accent1" w:themeFillTint="33"/>
          </w:tcPr>
          <w:p w:rsidR="00EB2567" w:rsidRPr="0052150D" w:rsidRDefault="00EB2567" w:rsidP="0052150D">
            <w:pPr>
              <w:autoSpaceDE w:val="0"/>
              <w:snapToGrid w:val="0"/>
              <w:rPr>
                <w:sz w:val="24"/>
              </w:rPr>
            </w:pPr>
            <w:r w:rsidRPr="0052150D">
              <w:rPr>
                <w:sz w:val="24"/>
              </w:rPr>
              <w:t>проти життя та здоров’я особи</w:t>
            </w:r>
          </w:p>
        </w:tc>
        <w:tc>
          <w:tcPr>
            <w:tcW w:w="1381" w:type="dxa"/>
            <w:tcBorders>
              <w:left w:val="single" w:sz="4" w:space="0" w:color="000000"/>
              <w:bottom w:val="single" w:sz="4" w:space="0" w:color="000000"/>
            </w:tcBorders>
            <w:shd w:val="clear" w:color="auto" w:fill="BBF2F3"/>
          </w:tcPr>
          <w:p w:rsidR="00EB2567" w:rsidRPr="0052150D" w:rsidRDefault="00C8378C" w:rsidP="0052150D">
            <w:pPr>
              <w:autoSpaceDE w:val="0"/>
              <w:snapToGrid w:val="0"/>
              <w:jc w:val="center"/>
              <w:rPr>
                <w:sz w:val="24"/>
              </w:rPr>
            </w:pPr>
            <w:r>
              <w:rPr>
                <w:sz w:val="24"/>
              </w:rPr>
              <w:t>3</w:t>
            </w:r>
            <w:r w:rsidR="006F01B1">
              <w:rPr>
                <w:sz w:val="24"/>
              </w:rPr>
              <w:t>1</w:t>
            </w:r>
          </w:p>
        </w:tc>
        <w:tc>
          <w:tcPr>
            <w:tcW w:w="1304" w:type="dxa"/>
            <w:tcBorders>
              <w:left w:val="single" w:sz="4" w:space="0" w:color="000000"/>
              <w:bottom w:val="single" w:sz="4" w:space="0" w:color="000000"/>
            </w:tcBorders>
            <w:shd w:val="clear" w:color="auto" w:fill="C6D9F1" w:themeFill="text2" w:themeFillTint="33"/>
          </w:tcPr>
          <w:p w:rsidR="00EB2567" w:rsidRPr="0052150D" w:rsidRDefault="006F01B1" w:rsidP="009F7C05">
            <w:pPr>
              <w:autoSpaceDE w:val="0"/>
              <w:snapToGrid w:val="0"/>
              <w:jc w:val="center"/>
              <w:rPr>
                <w:sz w:val="24"/>
              </w:rPr>
            </w:pPr>
            <w:r>
              <w:rPr>
                <w:sz w:val="24"/>
              </w:rPr>
              <w:t>26,72</w:t>
            </w:r>
          </w:p>
        </w:tc>
        <w:tc>
          <w:tcPr>
            <w:tcW w:w="1248" w:type="dxa"/>
            <w:tcBorders>
              <w:left w:val="single" w:sz="4" w:space="0" w:color="000000"/>
              <w:bottom w:val="single" w:sz="4" w:space="0" w:color="000000"/>
            </w:tcBorders>
            <w:shd w:val="clear" w:color="auto" w:fill="BBF2F3"/>
          </w:tcPr>
          <w:p w:rsidR="00EB2567" w:rsidRPr="0052150D" w:rsidRDefault="006F01B1" w:rsidP="009F7C05">
            <w:pPr>
              <w:autoSpaceDE w:val="0"/>
              <w:snapToGrid w:val="0"/>
              <w:jc w:val="center"/>
              <w:rPr>
                <w:sz w:val="24"/>
              </w:rPr>
            </w:pPr>
            <w:r>
              <w:rPr>
                <w:sz w:val="24"/>
              </w:rPr>
              <w:t>28</w:t>
            </w:r>
          </w:p>
        </w:tc>
        <w:tc>
          <w:tcPr>
            <w:tcW w:w="1417" w:type="dxa"/>
            <w:tcBorders>
              <w:left w:val="single" w:sz="4" w:space="0" w:color="000000"/>
              <w:bottom w:val="single" w:sz="4" w:space="0" w:color="000000"/>
            </w:tcBorders>
            <w:shd w:val="clear" w:color="auto" w:fill="C6D9F1" w:themeFill="text2" w:themeFillTint="33"/>
          </w:tcPr>
          <w:p w:rsidR="00EB2567" w:rsidRPr="0052150D" w:rsidRDefault="006F01B1" w:rsidP="009F7C05">
            <w:pPr>
              <w:autoSpaceDE w:val="0"/>
              <w:snapToGrid w:val="0"/>
              <w:jc w:val="center"/>
              <w:rPr>
                <w:sz w:val="24"/>
              </w:rPr>
            </w:pPr>
            <w:r>
              <w:rPr>
                <w:sz w:val="24"/>
              </w:rPr>
              <w:t>25,0</w:t>
            </w:r>
          </w:p>
        </w:tc>
        <w:tc>
          <w:tcPr>
            <w:tcW w:w="1418" w:type="dxa"/>
            <w:tcBorders>
              <w:left w:val="single" w:sz="4" w:space="0" w:color="000000"/>
              <w:bottom w:val="single" w:sz="4" w:space="0" w:color="000000"/>
              <w:right w:val="single" w:sz="4" w:space="0" w:color="000000"/>
            </w:tcBorders>
            <w:shd w:val="clear" w:color="auto" w:fill="BBF2F3"/>
          </w:tcPr>
          <w:p w:rsidR="00EB2567" w:rsidRPr="0052150D" w:rsidRDefault="001B419C" w:rsidP="00A35547">
            <w:pPr>
              <w:autoSpaceDE w:val="0"/>
              <w:snapToGrid w:val="0"/>
              <w:jc w:val="center"/>
              <w:rPr>
                <w:sz w:val="24"/>
              </w:rPr>
            </w:pPr>
            <w:r>
              <w:rPr>
                <w:sz w:val="24"/>
              </w:rPr>
              <w:t>-</w:t>
            </w:r>
            <w:r w:rsidR="00A35547">
              <w:rPr>
                <w:sz w:val="24"/>
              </w:rPr>
              <w:t>9,68</w:t>
            </w:r>
          </w:p>
        </w:tc>
      </w:tr>
      <w:tr w:rsidR="00EB2567" w:rsidTr="003375CC">
        <w:trPr>
          <w:jc w:val="center"/>
        </w:trPr>
        <w:tc>
          <w:tcPr>
            <w:tcW w:w="2996" w:type="dxa"/>
            <w:tcBorders>
              <w:left w:val="single" w:sz="4" w:space="0" w:color="000000"/>
              <w:bottom w:val="single" w:sz="4" w:space="0" w:color="000000"/>
            </w:tcBorders>
            <w:shd w:val="clear" w:color="auto" w:fill="DBE5F1" w:themeFill="accent1" w:themeFillTint="33"/>
          </w:tcPr>
          <w:p w:rsidR="00EB2567" w:rsidRPr="0052150D" w:rsidRDefault="0052150D" w:rsidP="0052150D">
            <w:pPr>
              <w:autoSpaceDE w:val="0"/>
              <w:snapToGrid w:val="0"/>
              <w:rPr>
                <w:sz w:val="24"/>
              </w:rPr>
            </w:pPr>
            <w:r w:rsidRPr="0052150D">
              <w:rPr>
                <w:sz w:val="24"/>
              </w:rPr>
              <w:t xml:space="preserve">проти </w:t>
            </w:r>
            <w:r w:rsidR="00EB2567" w:rsidRPr="0052150D">
              <w:rPr>
                <w:sz w:val="24"/>
              </w:rPr>
              <w:t>статевої свободи та статевої недоторканності особи</w:t>
            </w:r>
          </w:p>
        </w:tc>
        <w:tc>
          <w:tcPr>
            <w:tcW w:w="1381" w:type="dxa"/>
            <w:tcBorders>
              <w:left w:val="single" w:sz="4" w:space="0" w:color="000000"/>
              <w:bottom w:val="single" w:sz="4" w:space="0" w:color="000000"/>
            </w:tcBorders>
            <w:shd w:val="clear" w:color="auto" w:fill="BBF2F3"/>
          </w:tcPr>
          <w:p w:rsidR="00EB2567" w:rsidRPr="0052150D" w:rsidRDefault="006F01B1" w:rsidP="009F7C05">
            <w:pPr>
              <w:autoSpaceDE w:val="0"/>
              <w:snapToGrid w:val="0"/>
              <w:jc w:val="center"/>
              <w:rPr>
                <w:sz w:val="24"/>
              </w:rPr>
            </w:pPr>
            <w:r>
              <w:rPr>
                <w:sz w:val="24"/>
              </w:rPr>
              <w:t>2</w:t>
            </w:r>
          </w:p>
        </w:tc>
        <w:tc>
          <w:tcPr>
            <w:tcW w:w="1304" w:type="dxa"/>
            <w:tcBorders>
              <w:left w:val="single" w:sz="4" w:space="0" w:color="000000"/>
              <w:bottom w:val="single" w:sz="4" w:space="0" w:color="000000"/>
            </w:tcBorders>
            <w:shd w:val="clear" w:color="auto" w:fill="C6D9F1" w:themeFill="text2" w:themeFillTint="33"/>
          </w:tcPr>
          <w:p w:rsidR="00EB2567" w:rsidRPr="0052150D" w:rsidRDefault="006F01B1" w:rsidP="009F7C05">
            <w:pPr>
              <w:autoSpaceDE w:val="0"/>
              <w:snapToGrid w:val="0"/>
              <w:jc w:val="center"/>
              <w:rPr>
                <w:sz w:val="24"/>
              </w:rPr>
            </w:pPr>
            <w:r>
              <w:rPr>
                <w:sz w:val="24"/>
              </w:rPr>
              <w:t>1,72</w:t>
            </w:r>
          </w:p>
        </w:tc>
        <w:tc>
          <w:tcPr>
            <w:tcW w:w="1248" w:type="dxa"/>
            <w:tcBorders>
              <w:left w:val="single" w:sz="4" w:space="0" w:color="000000"/>
              <w:bottom w:val="single" w:sz="4" w:space="0" w:color="000000"/>
            </w:tcBorders>
            <w:shd w:val="clear" w:color="auto" w:fill="BBF2F3"/>
          </w:tcPr>
          <w:p w:rsidR="00EB2567" w:rsidRPr="0052150D" w:rsidRDefault="006F01B1" w:rsidP="009F7C05">
            <w:pPr>
              <w:autoSpaceDE w:val="0"/>
              <w:snapToGrid w:val="0"/>
              <w:jc w:val="center"/>
              <w:rPr>
                <w:sz w:val="24"/>
              </w:rPr>
            </w:pPr>
            <w:r>
              <w:rPr>
                <w:sz w:val="24"/>
              </w:rPr>
              <w:t>2</w:t>
            </w:r>
          </w:p>
        </w:tc>
        <w:tc>
          <w:tcPr>
            <w:tcW w:w="1417" w:type="dxa"/>
            <w:tcBorders>
              <w:left w:val="single" w:sz="4" w:space="0" w:color="000000"/>
              <w:bottom w:val="single" w:sz="4" w:space="0" w:color="000000"/>
            </w:tcBorders>
            <w:shd w:val="clear" w:color="auto" w:fill="C6D9F1" w:themeFill="text2" w:themeFillTint="33"/>
          </w:tcPr>
          <w:p w:rsidR="00EB2567" w:rsidRPr="0052150D" w:rsidRDefault="006F01B1" w:rsidP="009F7C05">
            <w:pPr>
              <w:autoSpaceDE w:val="0"/>
              <w:snapToGrid w:val="0"/>
              <w:jc w:val="center"/>
              <w:rPr>
                <w:sz w:val="24"/>
              </w:rPr>
            </w:pPr>
            <w:r>
              <w:rPr>
                <w:sz w:val="24"/>
              </w:rPr>
              <w:t>1,78</w:t>
            </w:r>
          </w:p>
        </w:tc>
        <w:tc>
          <w:tcPr>
            <w:tcW w:w="1418" w:type="dxa"/>
            <w:tcBorders>
              <w:left w:val="single" w:sz="4" w:space="0" w:color="000000"/>
              <w:bottom w:val="single" w:sz="4" w:space="0" w:color="000000"/>
              <w:right w:val="single" w:sz="4" w:space="0" w:color="000000"/>
            </w:tcBorders>
            <w:shd w:val="clear" w:color="auto" w:fill="BBF2F3"/>
          </w:tcPr>
          <w:p w:rsidR="00EB2567" w:rsidRPr="0052150D" w:rsidRDefault="00440D8C" w:rsidP="0052150D">
            <w:pPr>
              <w:autoSpaceDE w:val="0"/>
              <w:snapToGrid w:val="0"/>
              <w:jc w:val="center"/>
              <w:rPr>
                <w:sz w:val="24"/>
              </w:rPr>
            </w:pPr>
            <w:r>
              <w:rPr>
                <w:sz w:val="24"/>
              </w:rPr>
              <w:t>+100</w:t>
            </w:r>
          </w:p>
        </w:tc>
      </w:tr>
      <w:tr w:rsidR="007706A5" w:rsidTr="007706A5">
        <w:trPr>
          <w:trHeight w:val="1042"/>
          <w:jc w:val="center"/>
        </w:trPr>
        <w:tc>
          <w:tcPr>
            <w:tcW w:w="2996" w:type="dxa"/>
            <w:tcBorders>
              <w:left w:val="single" w:sz="4" w:space="0" w:color="000000"/>
              <w:bottom w:val="single" w:sz="4" w:space="0" w:color="000000"/>
            </w:tcBorders>
            <w:shd w:val="clear" w:color="auto" w:fill="DBE5F1" w:themeFill="accent1" w:themeFillTint="33"/>
          </w:tcPr>
          <w:p w:rsidR="007706A5" w:rsidRPr="0052150D" w:rsidRDefault="007706A5" w:rsidP="009F7C05">
            <w:pPr>
              <w:autoSpaceDE w:val="0"/>
              <w:snapToGrid w:val="0"/>
              <w:spacing w:after="280"/>
              <w:jc w:val="both"/>
              <w:rPr>
                <w:sz w:val="24"/>
              </w:rPr>
            </w:pPr>
            <w:r w:rsidRPr="0052150D">
              <w:rPr>
                <w:sz w:val="24"/>
              </w:rPr>
              <w:t xml:space="preserve">проти виборчих, трудових та інших особистих прав і свобод </w:t>
            </w:r>
            <w:r>
              <w:rPr>
                <w:sz w:val="24"/>
              </w:rPr>
              <w:t>людини і громадянина</w:t>
            </w:r>
          </w:p>
        </w:tc>
        <w:tc>
          <w:tcPr>
            <w:tcW w:w="1381" w:type="dxa"/>
            <w:tcBorders>
              <w:left w:val="single" w:sz="4" w:space="0" w:color="000000"/>
              <w:bottom w:val="single" w:sz="4" w:space="0" w:color="000000"/>
            </w:tcBorders>
            <w:shd w:val="clear" w:color="auto" w:fill="BBF2F3"/>
          </w:tcPr>
          <w:p w:rsidR="007706A5" w:rsidRPr="0052150D" w:rsidRDefault="006F01B1" w:rsidP="009F7C05">
            <w:pPr>
              <w:autoSpaceDE w:val="0"/>
              <w:snapToGrid w:val="0"/>
              <w:jc w:val="center"/>
              <w:rPr>
                <w:sz w:val="24"/>
              </w:rPr>
            </w:pPr>
            <w:r>
              <w:rPr>
                <w:sz w:val="24"/>
              </w:rPr>
              <w:t>2</w:t>
            </w:r>
          </w:p>
        </w:tc>
        <w:tc>
          <w:tcPr>
            <w:tcW w:w="1304" w:type="dxa"/>
            <w:tcBorders>
              <w:left w:val="single" w:sz="4" w:space="0" w:color="000000"/>
              <w:bottom w:val="single" w:sz="4" w:space="0" w:color="000000"/>
            </w:tcBorders>
            <w:shd w:val="clear" w:color="auto" w:fill="C6D9F1" w:themeFill="text2" w:themeFillTint="33"/>
          </w:tcPr>
          <w:p w:rsidR="007706A5" w:rsidRPr="0052150D" w:rsidRDefault="006F01B1" w:rsidP="009F7C05">
            <w:pPr>
              <w:autoSpaceDE w:val="0"/>
              <w:snapToGrid w:val="0"/>
              <w:jc w:val="center"/>
              <w:rPr>
                <w:sz w:val="24"/>
              </w:rPr>
            </w:pPr>
            <w:r>
              <w:rPr>
                <w:sz w:val="24"/>
              </w:rPr>
              <w:t>1,72</w:t>
            </w:r>
          </w:p>
        </w:tc>
        <w:tc>
          <w:tcPr>
            <w:tcW w:w="1248" w:type="dxa"/>
            <w:tcBorders>
              <w:left w:val="single" w:sz="4" w:space="0" w:color="000000"/>
              <w:bottom w:val="single" w:sz="4" w:space="0" w:color="000000"/>
            </w:tcBorders>
            <w:shd w:val="clear" w:color="auto" w:fill="BBF2F3"/>
          </w:tcPr>
          <w:p w:rsidR="007706A5" w:rsidRPr="0052150D" w:rsidRDefault="00BC1E6C" w:rsidP="009F7C05">
            <w:pPr>
              <w:autoSpaceDE w:val="0"/>
              <w:snapToGrid w:val="0"/>
              <w:jc w:val="center"/>
              <w:rPr>
                <w:sz w:val="24"/>
              </w:rPr>
            </w:pPr>
            <w:r>
              <w:rPr>
                <w:sz w:val="24"/>
              </w:rPr>
              <w:t>2</w:t>
            </w:r>
          </w:p>
        </w:tc>
        <w:tc>
          <w:tcPr>
            <w:tcW w:w="1417" w:type="dxa"/>
            <w:tcBorders>
              <w:left w:val="single" w:sz="4" w:space="0" w:color="000000"/>
              <w:bottom w:val="single" w:sz="4" w:space="0" w:color="000000"/>
            </w:tcBorders>
            <w:shd w:val="clear" w:color="auto" w:fill="C6D9F1" w:themeFill="text2" w:themeFillTint="33"/>
          </w:tcPr>
          <w:p w:rsidR="007706A5" w:rsidRPr="0052150D" w:rsidRDefault="00BC1E6C" w:rsidP="009F7C05">
            <w:pPr>
              <w:autoSpaceDE w:val="0"/>
              <w:snapToGrid w:val="0"/>
              <w:jc w:val="center"/>
              <w:rPr>
                <w:sz w:val="24"/>
              </w:rPr>
            </w:pPr>
            <w:r>
              <w:rPr>
                <w:sz w:val="24"/>
              </w:rPr>
              <w:t>1,78</w:t>
            </w:r>
          </w:p>
        </w:tc>
        <w:tc>
          <w:tcPr>
            <w:tcW w:w="1418" w:type="dxa"/>
            <w:tcBorders>
              <w:left w:val="single" w:sz="4" w:space="0" w:color="000000"/>
              <w:bottom w:val="single" w:sz="4" w:space="0" w:color="000000"/>
              <w:right w:val="single" w:sz="4" w:space="0" w:color="000000"/>
            </w:tcBorders>
            <w:shd w:val="clear" w:color="auto" w:fill="BBF2F3"/>
          </w:tcPr>
          <w:p w:rsidR="007706A5" w:rsidRPr="0052150D" w:rsidRDefault="00440D8C" w:rsidP="00440D8C">
            <w:pPr>
              <w:autoSpaceDE w:val="0"/>
              <w:snapToGrid w:val="0"/>
              <w:jc w:val="center"/>
              <w:rPr>
                <w:sz w:val="24"/>
              </w:rPr>
            </w:pPr>
            <w:r>
              <w:rPr>
                <w:sz w:val="24"/>
              </w:rPr>
              <w:t>+10</w:t>
            </w:r>
            <w:r w:rsidR="001B419C">
              <w:rPr>
                <w:sz w:val="24"/>
              </w:rPr>
              <w:t>0</w:t>
            </w:r>
          </w:p>
        </w:tc>
      </w:tr>
      <w:tr w:rsidR="007706A5" w:rsidRPr="007706A5" w:rsidTr="003375CC">
        <w:trPr>
          <w:trHeight w:val="70"/>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7706A5" w:rsidP="009F7C05">
            <w:pPr>
              <w:autoSpaceDE w:val="0"/>
              <w:snapToGrid w:val="0"/>
              <w:jc w:val="both"/>
              <w:rPr>
                <w:sz w:val="24"/>
              </w:rPr>
            </w:pPr>
            <w:r w:rsidRPr="007706A5">
              <w:rPr>
                <w:sz w:val="24"/>
              </w:rPr>
              <w:t>проти власності</w:t>
            </w:r>
          </w:p>
        </w:tc>
        <w:tc>
          <w:tcPr>
            <w:tcW w:w="1381" w:type="dxa"/>
            <w:tcBorders>
              <w:left w:val="single" w:sz="4" w:space="0" w:color="000000"/>
              <w:bottom w:val="single" w:sz="4" w:space="0" w:color="000000"/>
            </w:tcBorders>
            <w:shd w:val="clear" w:color="auto" w:fill="BBF2F3"/>
          </w:tcPr>
          <w:p w:rsidR="007706A5" w:rsidRPr="007706A5" w:rsidRDefault="00C8378C" w:rsidP="009F7C05">
            <w:pPr>
              <w:autoSpaceDE w:val="0"/>
              <w:snapToGrid w:val="0"/>
              <w:jc w:val="center"/>
              <w:rPr>
                <w:sz w:val="24"/>
              </w:rPr>
            </w:pPr>
            <w:r>
              <w:rPr>
                <w:sz w:val="24"/>
              </w:rPr>
              <w:t>2</w:t>
            </w:r>
            <w:r w:rsidR="006F01B1">
              <w:rPr>
                <w:sz w:val="24"/>
              </w:rPr>
              <w:t>9</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6F01B1" w:rsidP="009F7C05">
            <w:pPr>
              <w:autoSpaceDE w:val="0"/>
              <w:snapToGrid w:val="0"/>
              <w:jc w:val="center"/>
              <w:rPr>
                <w:sz w:val="24"/>
              </w:rPr>
            </w:pPr>
            <w:r>
              <w:rPr>
                <w:sz w:val="24"/>
              </w:rPr>
              <w:t>25</w:t>
            </w:r>
          </w:p>
        </w:tc>
        <w:tc>
          <w:tcPr>
            <w:tcW w:w="1248" w:type="dxa"/>
            <w:tcBorders>
              <w:left w:val="single" w:sz="4" w:space="0" w:color="000000"/>
              <w:bottom w:val="single" w:sz="4" w:space="0" w:color="000000"/>
            </w:tcBorders>
            <w:shd w:val="clear" w:color="auto" w:fill="BBF2F3"/>
          </w:tcPr>
          <w:p w:rsidR="007706A5" w:rsidRPr="007706A5" w:rsidRDefault="00BC1E6C" w:rsidP="009F7C05">
            <w:pPr>
              <w:autoSpaceDE w:val="0"/>
              <w:snapToGrid w:val="0"/>
              <w:jc w:val="center"/>
              <w:rPr>
                <w:sz w:val="24"/>
              </w:rPr>
            </w:pPr>
            <w:r>
              <w:rPr>
                <w:sz w:val="24"/>
              </w:rPr>
              <w:t>24</w:t>
            </w:r>
          </w:p>
        </w:tc>
        <w:tc>
          <w:tcPr>
            <w:tcW w:w="1417" w:type="dxa"/>
            <w:tcBorders>
              <w:left w:val="single" w:sz="4" w:space="0" w:color="000000"/>
              <w:bottom w:val="single" w:sz="4" w:space="0" w:color="000000"/>
            </w:tcBorders>
            <w:shd w:val="clear" w:color="auto" w:fill="C6D9F1" w:themeFill="text2" w:themeFillTint="33"/>
          </w:tcPr>
          <w:p w:rsidR="007706A5" w:rsidRPr="007706A5" w:rsidRDefault="00BC1E6C" w:rsidP="009F7C05">
            <w:pPr>
              <w:autoSpaceDE w:val="0"/>
              <w:snapToGrid w:val="0"/>
              <w:jc w:val="center"/>
              <w:rPr>
                <w:sz w:val="24"/>
              </w:rPr>
            </w:pPr>
            <w:r>
              <w:rPr>
                <w:sz w:val="24"/>
              </w:rPr>
              <w:t>21,4</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440D8C" w:rsidP="00A35547">
            <w:pPr>
              <w:autoSpaceDE w:val="0"/>
              <w:snapToGrid w:val="0"/>
              <w:jc w:val="center"/>
              <w:rPr>
                <w:sz w:val="24"/>
              </w:rPr>
            </w:pPr>
            <w:r>
              <w:rPr>
                <w:sz w:val="24"/>
              </w:rPr>
              <w:t>-</w:t>
            </w:r>
            <w:r w:rsidR="00A35547">
              <w:rPr>
                <w:sz w:val="24"/>
              </w:rPr>
              <w:t>17,24</w:t>
            </w:r>
          </w:p>
        </w:tc>
      </w:tr>
      <w:tr w:rsidR="007706A5" w:rsidRPr="007706A5" w:rsidTr="003375CC">
        <w:trPr>
          <w:trHeight w:val="70"/>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7706A5" w:rsidP="007706A5">
            <w:pPr>
              <w:autoSpaceDE w:val="0"/>
              <w:snapToGrid w:val="0"/>
              <w:rPr>
                <w:sz w:val="24"/>
              </w:rPr>
            </w:pPr>
            <w:r>
              <w:rPr>
                <w:sz w:val="24"/>
              </w:rPr>
              <w:t>у сфері господарської діяльності</w:t>
            </w:r>
          </w:p>
        </w:tc>
        <w:tc>
          <w:tcPr>
            <w:tcW w:w="1381" w:type="dxa"/>
            <w:tcBorders>
              <w:left w:val="single" w:sz="4" w:space="0" w:color="000000"/>
              <w:bottom w:val="single" w:sz="4" w:space="0" w:color="000000"/>
            </w:tcBorders>
            <w:shd w:val="clear" w:color="auto" w:fill="BBF2F3"/>
          </w:tcPr>
          <w:p w:rsidR="007706A5" w:rsidRPr="007706A5" w:rsidRDefault="006F01B1" w:rsidP="009F7C05">
            <w:pPr>
              <w:autoSpaceDE w:val="0"/>
              <w:snapToGrid w:val="0"/>
              <w:jc w:val="center"/>
              <w:rPr>
                <w:sz w:val="24"/>
              </w:rPr>
            </w:pPr>
            <w:r>
              <w:rPr>
                <w:sz w:val="24"/>
              </w:rPr>
              <w:t>1</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1B419C" w:rsidP="009F7C05">
            <w:pPr>
              <w:autoSpaceDE w:val="0"/>
              <w:snapToGrid w:val="0"/>
              <w:jc w:val="center"/>
              <w:rPr>
                <w:sz w:val="24"/>
              </w:rPr>
            </w:pPr>
            <w:r>
              <w:rPr>
                <w:sz w:val="24"/>
              </w:rPr>
              <w:t>0</w:t>
            </w:r>
            <w:r w:rsidR="006F01B1">
              <w:rPr>
                <w:sz w:val="24"/>
              </w:rPr>
              <w:t>,86</w:t>
            </w:r>
          </w:p>
        </w:tc>
        <w:tc>
          <w:tcPr>
            <w:tcW w:w="1248" w:type="dxa"/>
            <w:tcBorders>
              <w:left w:val="single" w:sz="4" w:space="0" w:color="000000"/>
              <w:bottom w:val="single" w:sz="4" w:space="0" w:color="000000"/>
            </w:tcBorders>
            <w:shd w:val="clear" w:color="auto" w:fill="BBF2F3"/>
          </w:tcPr>
          <w:p w:rsidR="007706A5" w:rsidRDefault="00BC1E6C" w:rsidP="009F7C05">
            <w:pPr>
              <w:autoSpaceDE w:val="0"/>
              <w:snapToGrid w:val="0"/>
              <w:jc w:val="center"/>
              <w:rPr>
                <w:sz w:val="24"/>
              </w:rPr>
            </w:pPr>
            <w:r>
              <w:rPr>
                <w:sz w:val="24"/>
              </w:rPr>
              <w:t>1</w:t>
            </w:r>
          </w:p>
        </w:tc>
        <w:tc>
          <w:tcPr>
            <w:tcW w:w="1417" w:type="dxa"/>
            <w:tcBorders>
              <w:left w:val="single" w:sz="4" w:space="0" w:color="000000"/>
              <w:bottom w:val="single" w:sz="4" w:space="0" w:color="000000"/>
            </w:tcBorders>
            <w:shd w:val="clear" w:color="auto" w:fill="C6D9F1" w:themeFill="text2" w:themeFillTint="33"/>
          </w:tcPr>
          <w:p w:rsidR="007706A5" w:rsidRDefault="00440D8C" w:rsidP="009F7C05">
            <w:pPr>
              <w:autoSpaceDE w:val="0"/>
              <w:snapToGrid w:val="0"/>
              <w:jc w:val="center"/>
              <w:rPr>
                <w:sz w:val="24"/>
              </w:rPr>
            </w:pPr>
            <w:r>
              <w:rPr>
                <w:sz w:val="24"/>
              </w:rPr>
              <w:t>0,89</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A76E8F" w:rsidP="009F7C05">
            <w:pPr>
              <w:autoSpaceDE w:val="0"/>
              <w:snapToGrid w:val="0"/>
              <w:jc w:val="center"/>
              <w:rPr>
                <w:sz w:val="24"/>
              </w:rPr>
            </w:pPr>
            <w:r>
              <w:rPr>
                <w:sz w:val="24"/>
              </w:rPr>
              <w:t>+100</w:t>
            </w:r>
          </w:p>
        </w:tc>
      </w:tr>
      <w:tr w:rsidR="007706A5" w:rsidRPr="007706A5" w:rsidTr="003375CC">
        <w:trPr>
          <w:trHeight w:val="70"/>
          <w:jc w:val="center"/>
        </w:trPr>
        <w:tc>
          <w:tcPr>
            <w:tcW w:w="2996" w:type="dxa"/>
            <w:tcBorders>
              <w:left w:val="single" w:sz="4" w:space="0" w:color="000000"/>
              <w:bottom w:val="single" w:sz="4" w:space="0" w:color="000000"/>
            </w:tcBorders>
            <w:shd w:val="clear" w:color="auto" w:fill="DBE5F1" w:themeFill="accent1" w:themeFillTint="33"/>
          </w:tcPr>
          <w:p w:rsidR="007706A5" w:rsidRDefault="007706A5" w:rsidP="007706A5">
            <w:pPr>
              <w:autoSpaceDE w:val="0"/>
              <w:snapToGrid w:val="0"/>
              <w:rPr>
                <w:sz w:val="24"/>
              </w:rPr>
            </w:pPr>
            <w:r>
              <w:rPr>
                <w:sz w:val="24"/>
              </w:rPr>
              <w:t>проти громадської безпеки</w:t>
            </w:r>
          </w:p>
        </w:tc>
        <w:tc>
          <w:tcPr>
            <w:tcW w:w="1381" w:type="dxa"/>
            <w:tcBorders>
              <w:left w:val="single" w:sz="4" w:space="0" w:color="000000"/>
              <w:bottom w:val="single" w:sz="4" w:space="0" w:color="000000"/>
            </w:tcBorders>
            <w:shd w:val="clear" w:color="auto" w:fill="BBF2F3"/>
          </w:tcPr>
          <w:p w:rsidR="007706A5" w:rsidRPr="007706A5" w:rsidRDefault="006F01B1" w:rsidP="009F7C05">
            <w:pPr>
              <w:autoSpaceDE w:val="0"/>
              <w:snapToGrid w:val="0"/>
              <w:jc w:val="center"/>
              <w:rPr>
                <w:sz w:val="24"/>
              </w:rPr>
            </w:pPr>
            <w:r>
              <w:rPr>
                <w:sz w:val="24"/>
              </w:rPr>
              <w:t>3</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6F01B1" w:rsidP="009F7C05">
            <w:pPr>
              <w:autoSpaceDE w:val="0"/>
              <w:snapToGrid w:val="0"/>
              <w:jc w:val="center"/>
              <w:rPr>
                <w:sz w:val="24"/>
              </w:rPr>
            </w:pPr>
            <w:r>
              <w:rPr>
                <w:sz w:val="24"/>
              </w:rPr>
              <w:t>2,59</w:t>
            </w:r>
          </w:p>
        </w:tc>
        <w:tc>
          <w:tcPr>
            <w:tcW w:w="1248" w:type="dxa"/>
            <w:tcBorders>
              <w:left w:val="single" w:sz="4" w:space="0" w:color="000000"/>
              <w:bottom w:val="single" w:sz="4" w:space="0" w:color="000000"/>
            </w:tcBorders>
            <w:shd w:val="clear" w:color="auto" w:fill="BBF2F3"/>
          </w:tcPr>
          <w:p w:rsidR="007706A5" w:rsidRDefault="00BC1E6C" w:rsidP="009F7C05">
            <w:pPr>
              <w:autoSpaceDE w:val="0"/>
              <w:snapToGrid w:val="0"/>
              <w:jc w:val="center"/>
              <w:rPr>
                <w:sz w:val="24"/>
              </w:rPr>
            </w:pPr>
            <w:r>
              <w:rPr>
                <w:sz w:val="24"/>
              </w:rPr>
              <w:t>5</w:t>
            </w:r>
          </w:p>
        </w:tc>
        <w:tc>
          <w:tcPr>
            <w:tcW w:w="1417" w:type="dxa"/>
            <w:tcBorders>
              <w:left w:val="single" w:sz="4" w:space="0" w:color="000000"/>
              <w:bottom w:val="single" w:sz="4" w:space="0" w:color="000000"/>
            </w:tcBorders>
            <w:shd w:val="clear" w:color="auto" w:fill="C6D9F1" w:themeFill="text2" w:themeFillTint="33"/>
          </w:tcPr>
          <w:p w:rsidR="007706A5" w:rsidRDefault="00440D8C" w:rsidP="009F7C05">
            <w:pPr>
              <w:autoSpaceDE w:val="0"/>
              <w:snapToGrid w:val="0"/>
              <w:jc w:val="center"/>
              <w:rPr>
                <w:sz w:val="24"/>
              </w:rPr>
            </w:pPr>
            <w:r>
              <w:rPr>
                <w:sz w:val="24"/>
              </w:rPr>
              <w:t>4,46</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440D8C" w:rsidP="009F7C05">
            <w:pPr>
              <w:autoSpaceDE w:val="0"/>
              <w:snapToGrid w:val="0"/>
              <w:jc w:val="center"/>
              <w:rPr>
                <w:sz w:val="24"/>
              </w:rPr>
            </w:pPr>
            <w:r>
              <w:rPr>
                <w:sz w:val="24"/>
              </w:rPr>
              <w:t>+40</w:t>
            </w:r>
          </w:p>
        </w:tc>
      </w:tr>
      <w:tr w:rsidR="007706A5" w:rsidRPr="007706A5" w:rsidTr="007706A5">
        <w:trPr>
          <w:trHeight w:val="499"/>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7706A5" w:rsidP="007706A5">
            <w:pPr>
              <w:autoSpaceDE w:val="0"/>
              <w:snapToGrid w:val="0"/>
              <w:rPr>
                <w:sz w:val="24"/>
              </w:rPr>
            </w:pPr>
            <w:r w:rsidRPr="007706A5">
              <w:rPr>
                <w:sz w:val="24"/>
              </w:rPr>
              <w:t>проти безпеки руху та експлуатації транспорту</w:t>
            </w:r>
          </w:p>
        </w:tc>
        <w:tc>
          <w:tcPr>
            <w:tcW w:w="1381" w:type="dxa"/>
            <w:tcBorders>
              <w:left w:val="single" w:sz="4" w:space="0" w:color="000000"/>
              <w:bottom w:val="single" w:sz="4" w:space="0" w:color="000000"/>
            </w:tcBorders>
            <w:shd w:val="clear" w:color="auto" w:fill="BBF2F3"/>
          </w:tcPr>
          <w:p w:rsidR="007706A5" w:rsidRPr="007706A5" w:rsidRDefault="006F01B1" w:rsidP="009F7C05">
            <w:pPr>
              <w:autoSpaceDE w:val="0"/>
              <w:snapToGrid w:val="0"/>
              <w:jc w:val="center"/>
              <w:rPr>
                <w:sz w:val="24"/>
              </w:rPr>
            </w:pPr>
            <w:r>
              <w:rPr>
                <w:sz w:val="24"/>
              </w:rPr>
              <w:t>10</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6F01B1" w:rsidP="009F7C05">
            <w:pPr>
              <w:autoSpaceDE w:val="0"/>
              <w:snapToGrid w:val="0"/>
              <w:jc w:val="center"/>
              <w:rPr>
                <w:sz w:val="24"/>
              </w:rPr>
            </w:pPr>
            <w:r>
              <w:rPr>
                <w:sz w:val="24"/>
              </w:rPr>
              <w:t>8,62</w:t>
            </w:r>
          </w:p>
        </w:tc>
        <w:tc>
          <w:tcPr>
            <w:tcW w:w="1248" w:type="dxa"/>
            <w:tcBorders>
              <w:left w:val="single" w:sz="4" w:space="0" w:color="000000"/>
              <w:bottom w:val="single" w:sz="4" w:space="0" w:color="000000"/>
            </w:tcBorders>
            <w:shd w:val="clear" w:color="auto" w:fill="BBF2F3"/>
          </w:tcPr>
          <w:p w:rsidR="007706A5" w:rsidRPr="007706A5" w:rsidRDefault="00BC1E6C" w:rsidP="009F7C05">
            <w:pPr>
              <w:autoSpaceDE w:val="0"/>
              <w:snapToGrid w:val="0"/>
              <w:jc w:val="center"/>
              <w:rPr>
                <w:sz w:val="24"/>
              </w:rPr>
            </w:pPr>
            <w:r>
              <w:rPr>
                <w:sz w:val="24"/>
              </w:rPr>
              <w:t>11</w:t>
            </w:r>
          </w:p>
        </w:tc>
        <w:tc>
          <w:tcPr>
            <w:tcW w:w="1417" w:type="dxa"/>
            <w:tcBorders>
              <w:left w:val="single" w:sz="4" w:space="0" w:color="000000"/>
              <w:bottom w:val="single" w:sz="4" w:space="0" w:color="000000"/>
            </w:tcBorders>
            <w:shd w:val="clear" w:color="auto" w:fill="C6D9F1" w:themeFill="text2" w:themeFillTint="33"/>
          </w:tcPr>
          <w:p w:rsidR="007706A5" w:rsidRPr="007706A5" w:rsidRDefault="00440D8C" w:rsidP="009F7C05">
            <w:pPr>
              <w:autoSpaceDE w:val="0"/>
              <w:snapToGrid w:val="0"/>
              <w:jc w:val="center"/>
              <w:rPr>
                <w:sz w:val="24"/>
              </w:rPr>
            </w:pPr>
            <w:r>
              <w:rPr>
                <w:sz w:val="24"/>
              </w:rPr>
              <w:t>9,82</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440D8C" w:rsidP="009F7C05">
            <w:pPr>
              <w:autoSpaceDE w:val="0"/>
              <w:snapToGrid w:val="0"/>
              <w:jc w:val="center"/>
              <w:rPr>
                <w:sz w:val="24"/>
              </w:rPr>
            </w:pPr>
            <w:r>
              <w:rPr>
                <w:sz w:val="24"/>
              </w:rPr>
              <w:t>+9,09</w:t>
            </w:r>
          </w:p>
        </w:tc>
      </w:tr>
      <w:tr w:rsidR="007706A5" w:rsidRPr="007706A5" w:rsidTr="003375CC">
        <w:trPr>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7706A5" w:rsidP="007706A5">
            <w:pPr>
              <w:autoSpaceDE w:val="0"/>
              <w:snapToGrid w:val="0"/>
              <w:rPr>
                <w:sz w:val="24"/>
              </w:rPr>
            </w:pPr>
            <w:r w:rsidRPr="007706A5">
              <w:rPr>
                <w:sz w:val="24"/>
              </w:rPr>
              <w:t>проти громадського порядку та моральності</w:t>
            </w:r>
          </w:p>
        </w:tc>
        <w:tc>
          <w:tcPr>
            <w:tcW w:w="1381" w:type="dxa"/>
            <w:tcBorders>
              <w:left w:val="single" w:sz="4" w:space="0" w:color="000000"/>
              <w:bottom w:val="single" w:sz="4" w:space="0" w:color="000000"/>
            </w:tcBorders>
            <w:shd w:val="clear" w:color="auto" w:fill="BBF2F3"/>
          </w:tcPr>
          <w:p w:rsidR="007706A5" w:rsidRPr="007706A5" w:rsidRDefault="006F01B1" w:rsidP="009F7C05">
            <w:pPr>
              <w:autoSpaceDE w:val="0"/>
              <w:snapToGrid w:val="0"/>
              <w:jc w:val="center"/>
              <w:rPr>
                <w:sz w:val="24"/>
              </w:rPr>
            </w:pPr>
            <w:r>
              <w:rPr>
                <w:sz w:val="24"/>
              </w:rPr>
              <w:t>3</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6F01B1" w:rsidP="009F7C05">
            <w:pPr>
              <w:autoSpaceDE w:val="0"/>
              <w:snapToGrid w:val="0"/>
              <w:jc w:val="center"/>
              <w:rPr>
                <w:sz w:val="24"/>
              </w:rPr>
            </w:pPr>
            <w:r>
              <w:rPr>
                <w:sz w:val="24"/>
              </w:rPr>
              <w:t>2,59</w:t>
            </w:r>
          </w:p>
        </w:tc>
        <w:tc>
          <w:tcPr>
            <w:tcW w:w="1248" w:type="dxa"/>
            <w:tcBorders>
              <w:left w:val="single" w:sz="4" w:space="0" w:color="000000"/>
              <w:bottom w:val="single" w:sz="4" w:space="0" w:color="000000"/>
            </w:tcBorders>
            <w:shd w:val="clear" w:color="auto" w:fill="BBF2F3"/>
          </w:tcPr>
          <w:p w:rsidR="007706A5" w:rsidRPr="007706A5" w:rsidRDefault="00440D8C" w:rsidP="009F7C05">
            <w:pPr>
              <w:autoSpaceDE w:val="0"/>
              <w:snapToGrid w:val="0"/>
              <w:jc w:val="center"/>
              <w:rPr>
                <w:sz w:val="24"/>
              </w:rPr>
            </w:pPr>
            <w:r>
              <w:rPr>
                <w:sz w:val="24"/>
              </w:rPr>
              <w:t>0</w:t>
            </w:r>
          </w:p>
        </w:tc>
        <w:tc>
          <w:tcPr>
            <w:tcW w:w="1417" w:type="dxa"/>
            <w:tcBorders>
              <w:left w:val="single" w:sz="4" w:space="0" w:color="000000"/>
              <w:bottom w:val="single" w:sz="4" w:space="0" w:color="000000"/>
            </w:tcBorders>
            <w:shd w:val="clear" w:color="auto" w:fill="C6D9F1" w:themeFill="text2" w:themeFillTint="33"/>
          </w:tcPr>
          <w:p w:rsidR="007706A5" w:rsidRPr="007706A5" w:rsidRDefault="00440D8C" w:rsidP="009F7C05">
            <w:pPr>
              <w:autoSpaceDE w:val="0"/>
              <w:snapToGrid w:val="0"/>
              <w:jc w:val="center"/>
              <w:rPr>
                <w:sz w:val="24"/>
              </w:rPr>
            </w:pPr>
            <w:r>
              <w:rPr>
                <w:sz w:val="24"/>
              </w:rPr>
              <w:t>0</w:t>
            </w:r>
          </w:p>
        </w:tc>
        <w:tc>
          <w:tcPr>
            <w:tcW w:w="1418" w:type="dxa"/>
            <w:tcBorders>
              <w:left w:val="single" w:sz="4" w:space="0" w:color="000000"/>
              <w:bottom w:val="single" w:sz="4" w:space="0" w:color="000000"/>
              <w:right w:val="single" w:sz="4" w:space="0" w:color="000000"/>
            </w:tcBorders>
            <w:shd w:val="clear" w:color="auto" w:fill="BBF2F3"/>
          </w:tcPr>
          <w:p w:rsidR="007706A5" w:rsidRPr="00A76E8F" w:rsidRDefault="007706A5" w:rsidP="009F7C05">
            <w:pPr>
              <w:autoSpaceDE w:val="0"/>
              <w:snapToGrid w:val="0"/>
              <w:jc w:val="center"/>
              <w:rPr>
                <w:sz w:val="24"/>
              </w:rPr>
            </w:pPr>
          </w:p>
        </w:tc>
      </w:tr>
      <w:tr w:rsidR="007706A5" w:rsidRPr="007706A5" w:rsidTr="003375CC">
        <w:trPr>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7706A5" w:rsidP="007706A5">
            <w:pPr>
              <w:autoSpaceDE w:val="0"/>
              <w:snapToGrid w:val="0"/>
              <w:rPr>
                <w:sz w:val="24"/>
              </w:rPr>
            </w:pPr>
            <w:r w:rsidRPr="007706A5">
              <w:rPr>
                <w:sz w:val="24"/>
              </w:rPr>
              <w:t>у сфері обігу наркотичних засобів, психотропних речовин, їх аналогів або прекурсорів та інші злочини проти здоров'я населення</w:t>
            </w:r>
          </w:p>
        </w:tc>
        <w:tc>
          <w:tcPr>
            <w:tcW w:w="1381" w:type="dxa"/>
            <w:tcBorders>
              <w:left w:val="single" w:sz="4" w:space="0" w:color="000000"/>
              <w:bottom w:val="single" w:sz="4" w:space="0" w:color="000000"/>
            </w:tcBorders>
            <w:shd w:val="clear" w:color="auto" w:fill="BBF2F3"/>
          </w:tcPr>
          <w:p w:rsidR="007706A5" w:rsidRPr="007706A5" w:rsidRDefault="001B419C" w:rsidP="009F7C05">
            <w:pPr>
              <w:autoSpaceDE w:val="0"/>
              <w:snapToGrid w:val="0"/>
              <w:jc w:val="center"/>
              <w:rPr>
                <w:sz w:val="24"/>
              </w:rPr>
            </w:pPr>
            <w:r>
              <w:rPr>
                <w:sz w:val="24"/>
              </w:rPr>
              <w:t>2</w:t>
            </w:r>
            <w:r w:rsidR="006F01B1">
              <w:rPr>
                <w:sz w:val="24"/>
              </w:rPr>
              <w:t>4</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6F01B1" w:rsidP="009F7C05">
            <w:pPr>
              <w:autoSpaceDE w:val="0"/>
              <w:snapToGrid w:val="0"/>
              <w:jc w:val="center"/>
              <w:rPr>
                <w:sz w:val="24"/>
              </w:rPr>
            </w:pPr>
            <w:r>
              <w:rPr>
                <w:sz w:val="24"/>
              </w:rPr>
              <w:t>20,68</w:t>
            </w:r>
          </w:p>
        </w:tc>
        <w:tc>
          <w:tcPr>
            <w:tcW w:w="1248" w:type="dxa"/>
            <w:tcBorders>
              <w:left w:val="single" w:sz="4" w:space="0" w:color="000000"/>
              <w:bottom w:val="single" w:sz="4" w:space="0" w:color="000000"/>
            </w:tcBorders>
            <w:shd w:val="clear" w:color="auto" w:fill="BBF2F3"/>
          </w:tcPr>
          <w:p w:rsidR="007706A5" w:rsidRPr="007706A5" w:rsidRDefault="00BC1E6C" w:rsidP="007706A5">
            <w:pPr>
              <w:autoSpaceDE w:val="0"/>
              <w:snapToGrid w:val="0"/>
              <w:jc w:val="center"/>
              <w:rPr>
                <w:sz w:val="24"/>
              </w:rPr>
            </w:pPr>
            <w:r>
              <w:rPr>
                <w:sz w:val="24"/>
              </w:rPr>
              <w:t>30</w:t>
            </w:r>
          </w:p>
        </w:tc>
        <w:tc>
          <w:tcPr>
            <w:tcW w:w="1417" w:type="dxa"/>
            <w:tcBorders>
              <w:left w:val="single" w:sz="4" w:space="0" w:color="000000"/>
              <w:bottom w:val="single" w:sz="4" w:space="0" w:color="000000"/>
            </w:tcBorders>
            <w:shd w:val="clear" w:color="auto" w:fill="C6D9F1" w:themeFill="text2" w:themeFillTint="33"/>
          </w:tcPr>
          <w:p w:rsidR="007706A5" w:rsidRPr="007706A5" w:rsidRDefault="00440D8C" w:rsidP="009F7C05">
            <w:pPr>
              <w:autoSpaceDE w:val="0"/>
              <w:snapToGrid w:val="0"/>
              <w:jc w:val="center"/>
              <w:rPr>
                <w:sz w:val="24"/>
              </w:rPr>
            </w:pPr>
            <w:r>
              <w:rPr>
                <w:sz w:val="24"/>
              </w:rPr>
              <w:t>2,67</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A76E8F" w:rsidP="00440D8C">
            <w:pPr>
              <w:autoSpaceDE w:val="0"/>
              <w:snapToGrid w:val="0"/>
              <w:jc w:val="center"/>
              <w:rPr>
                <w:sz w:val="24"/>
              </w:rPr>
            </w:pPr>
            <w:r>
              <w:rPr>
                <w:sz w:val="24"/>
              </w:rPr>
              <w:t>+</w:t>
            </w:r>
            <w:r w:rsidR="00440D8C">
              <w:rPr>
                <w:sz w:val="24"/>
              </w:rPr>
              <w:t>20</w:t>
            </w:r>
          </w:p>
        </w:tc>
      </w:tr>
      <w:tr w:rsidR="00C8378C" w:rsidRPr="007706A5" w:rsidTr="003375CC">
        <w:trPr>
          <w:jc w:val="center"/>
        </w:trPr>
        <w:tc>
          <w:tcPr>
            <w:tcW w:w="2996" w:type="dxa"/>
            <w:tcBorders>
              <w:left w:val="single" w:sz="4" w:space="0" w:color="000000"/>
              <w:bottom w:val="single" w:sz="4" w:space="0" w:color="000000"/>
            </w:tcBorders>
            <w:shd w:val="clear" w:color="auto" w:fill="DBE5F1" w:themeFill="accent1" w:themeFillTint="33"/>
          </w:tcPr>
          <w:p w:rsidR="00C8378C" w:rsidRPr="007706A5" w:rsidRDefault="00C8378C" w:rsidP="007706A5">
            <w:pPr>
              <w:autoSpaceDE w:val="0"/>
              <w:snapToGrid w:val="0"/>
              <w:rPr>
                <w:sz w:val="24"/>
              </w:rPr>
            </w:pPr>
            <w:r>
              <w:rPr>
                <w:sz w:val="24"/>
              </w:rPr>
              <w:t>проти авторитету органів державної влади</w:t>
            </w:r>
          </w:p>
        </w:tc>
        <w:tc>
          <w:tcPr>
            <w:tcW w:w="1381" w:type="dxa"/>
            <w:tcBorders>
              <w:left w:val="single" w:sz="4" w:space="0" w:color="000000"/>
              <w:bottom w:val="single" w:sz="4" w:space="0" w:color="000000"/>
            </w:tcBorders>
            <w:shd w:val="clear" w:color="auto" w:fill="BBF2F3"/>
          </w:tcPr>
          <w:p w:rsidR="00C8378C" w:rsidRPr="007706A5" w:rsidRDefault="006F01B1" w:rsidP="009F7C05">
            <w:pPr>
              <w:autoSpaceDE w:val="0"/>
              <w:snapToGrid w:val="0"/>
              <w:jc w:val="center"/>
              <w:rPr>
                <w:sz w:val="24"/>
              </w:rPr>
            </w:pPr>
            <w:r>
              <w:rPr>
                <w:sz w:val="24"/>
              </w:rPr>
              <w:t>4</w:t>
            </w:r>
          </w:p>
        </w:tc>
        <w:tc>
          <w:tcPr>
            <w:tcW w:w="1304" w:type="dxa"/>
            <w:tcBorders>
              <w:left w:val="single" w:sz="4" w:space="0" w:color="000000"/>
              <w:bottom w:val="single" w:sz="4" w:space="0" w:color="000000"/>
            </w:tcBorders>
            <w:shd w:val="clear" w:color="auto" w:fill="C6D9F1" w:themeFill="text2" w:themeFillTint="33"/>
          </w:tcPr>
          <w:p w:rsidR="00C8378C" w:rsidRPr="007706A5" w:rsidRDefault="006F01B1" w:rsidP="009F7C05">
            <w:pPr>
              <w:autoSpaceDE w:val="0"/>
              <w:snapToGrid w:val="0"/>
              <w:jc w:val="center"/>
              <w:rPr>
                <w:sz w:val="24"/>
              </w:rPr>
            </w:pPr>
            <w:r>
              <w:rPr>
                <w:sz w:val="24"/>
              </w:rPr>
              <w:t>3,45</w:t>
            </w:r>
          </w:p>
        </w:tc>
        <w:tc>
          <w:tcPr>
            <w:tcW w:w="1248" w:type="dxa"/>
            <w:tcBorders>
              <w:left w:val="single" w:sz="4" w:space="0" w:color="000000"/>
              <w:bottom w:val="single" w:sz="4" w:space="0" w:color="000000"/>
            </w:tcBorders>
            <w:shd w:val="clear" w:color="auto" w:fill="BBF2F3"/>
          </w:tcPr>
          <w:p w:rsidR="00C8378C" w:rsidRDefault="00BC1E6C" w:rsidP="007706A5">
            <w:pPr>
              <w:autoSpaceDE w:val="0"/>
              <w:snapToGrid w:val="0"/>
              <w:jc w:val="center"/>
              <w:rPr>
                <w:sz w:val="24"/>
              </w:rPr>
            </w:pPr>
            <w:r>
              <w:rPr>
                <w:sz w:val="24"/>
              </w:rPr>
              <w:t>6</w:t>
            </w:r>
          </w:p>
        </w:tc>
        <w:tc>
          <w:tcPr>
            <w:tcW w:w="1417" w:type="dxa"/>
            <w:tcBorders>
              <w:left w:val="single" w:sz="4" w:space="0" w:color="000000"/>
              <w:bottom w:val="single" w:sz="4" w:space="0" w:color="000000"/>
            </w:tcBorders>
            <w:shd w:val="clear" w:color="auto" w:fill="C6D9F1" w:themeFill="text2" w:themeFillTint="33"/>
          </w:tcPr>
          <w:p w:rsidR="00C8378C" w:rsidRDefault="00440D8C" w:rsidP="009F7C05">
            <w:pPr>
              <w:autoSpaceDE w:val="0"/>
              <w:snapToGrid w:val="0"/>
              <w:jc w:val="center"/>
              <w:rPr>
                <w:sz w:val="24"/>
              </w:rPr>
            </w:pPr>
            <w:r>
              <w:rPr>
                <w:sz w:val="24"/>
              </w:rPr>
              <w:t>5,36</w:t>
            </w:r>
          </w:p>
        </w:tc>
        <w:tc>
          <w:tcPr>
            <w:tcW w:w="1418" w:type="dxa"/>
            <w:tcBorders>
              <w:left w:val="single" w:sz="4" w:space="0" w:color="000000"/>
              <w:bottom w:val="single" w:sz="4" w:space="0" w:color="000000"/>
              <w:right w:val="single" w:sz="4" w:space="0" w:color="000000"/>
            </w:tcBorders>
            <w:shd w:val="clear" w:color="auto" w:fill="BBF2F3"/>
          </w:tcPr>
          <w:p w:rsidR="00C8378C" w:rsidRPr="007706A5" w:rsidRDefault="00A76E8F" w:rsidP="009F7C05">
            <w:pPr>
              <w:autoSpaceDE w:val="0"/>
              <w:snapToGrid w:val="0"/>
              <w:jc w:val="center"/>
              <w:rPr>
                <w:sz w:val="24"/>
              </w:rPr>
            </w:pPr>
            <w:r>
              <w:rPr>
                <w:sz w:val="24"/>
              </w:rPr>
              <w:t>+</w:t>
            </w:r>
            <w:r w:rsidR="00440D8C">
              <w:rPr>
                <w:sz w:val="24"/>
              </w:rPr>
              <w:t>33,3</w:t>
            </w:r>
          </w:p>
        </w:tc>
      </w:tr>
      <w:tr w:rsidR="007706A5" w:rsidRPr="007706A5" w:rsidTr="003375CC">
        <w:trPr>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7706A5" w:rsidP="007706A5">
            <w:pPr>
              <w:autoSpaceDE w:val="0"/>
              <w:snapToGrid w:val="0"/>
              <w:rPr>
                <w:sz w:val="24"/>
              </w:rPr>
            </w:pPr>
            <w:r w:rsidRPr="007706A5">
              <w:rPr>
                <w:sz w:val="24"/>
              </w:rPr>
              <w:t>проти правосуддя</w:t>
            </w:r>
          </w:p>
        </w:tc>
        <w:tc>
          <w:tcPr>
            <w:tcW w:w="1381" w:type="dxa"/>
            <w:tcBorders>
              <w:left w:val="single" w:sz="4" w:space="0" w:color="000000"/>
              <w:bottom w:val="single" w:sz="4" w:space="0" w:color="000000"/>
            </w:tcBorders>
            <w:shd w:val="clear" w:color="auto" w:fill="BBF2F3"/>
          </w:tcPr>
          <w:p w:rsidR="007706A5" w:rsidRPr="007706A5" w:rsidRDefault="006F01B1" w:rsidP="009F7C05">
            <w:pPr>
              <w:autoSpaceDE w:val="0"/>
              <w:snapToGrid w:val="0"/>
              <w:jc w:val="center"/>
              <w:rPr>
                <w:sz w:val="24"/>
              </w:rPr>
            </w:pPr>
            <w:r>
              <w:rPr>
                <w:sz w:val="24"/>
              </w:rPr>
              <w:t>6</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6F01B1" w:rsidP="009F7C05">
            <w:pPr>
              <w:autoSpaceDE w:val="0"/>
              <w:snapToGrid w:val="0"/>
              <w:jc w:val="center"/>
              <w:rPr>
                <w:sz w:val="24"/>
              </w:rPr>
            </w:pPr>
            <w:r>
              <w:rPr>
                <w:sz w:val="24"/>
              </w:rPr>
              <w:t>5,17</w:t>
            </w:r>
          </w:p>
        </w:tc>
        <w:tc>
          <w:tcPr>
            <w:tcW w:w="1248" w:type="dxa"/>
            <w:tcBorders>
              <w:left w:val="single" w:sz="4" w:space="0" w:color="000000"/>
              <w:bottom w:val="single" w:sz="4" w:space="0" w:color="000000"/>
            </w:tcBorders>
            <w:shd w:val="clear" w:color="auto" w:fill="BBF2F3"/>
          </w:tcPr>
          <w:p w:rsidR="007706A5" w:rsidRPr="007706A5" w:rsidRDefault="00BC1E6C" w:rsidP="009F7C05">
            <w:pPr>
              <w:autoSpaceDE w:val="0"/>
              <w:snapToGrid w:val="0"/>
              <w:jc w:val="center"/>
              <w:rPr>
                <w:sz w:val="24"/>
              </w:rPr>
            </w:pPr>
            <w:r>
              <w:rPr>
                <w:sz w:val="24"/>
              </w:rPr>
              <w:t>2</w:t>
            </w:r>
          </w:p>
        </w:tc>
        <w:tc>
          <w:tcPr>
            <w:tcW w:w="1417" w:type="dxa"/>
            <w:tcBorders>
              <w:left w:val="single" w:sz="4" w:space="0" w:color="000000"/>
              <w:bottom w:val="single" w:sz="4" w:space="0" w:color="000000"/>
            </w:tcBorders>
            <w:shd w:val="clear" w:color="auto" w:fill="C6D9F1" w:themeFill="text2" w:themeFillTint="33"/>
          </w:tcPr>
          <w:p w:rsidR="007706A5" w:rsidRPr="007706A5" w:rsidRDefault="00440D8C" w:rsidP="009F7C05">
            <w:pPr>
              <w:autoSpaceDE w:val="0"/>
              <w:snapToGrid w:val="0"/>
              <w:jc w:val="center"/>
              <w:rPr>
                <w:sz w:val="24"/>
              </w:rPr>
            </w:pPr>
            <w:r>
              <w:rPr>
                <w:sz w:val="24"/>
              </w:rPr>
              <w:t>1,79</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FC7FF5" w:rsidP="009F7C05">
            <w:pPr>
              <w:autoSpaceDE w:val="0"/>
              <w:snapToGrid w:val="0"/>
              <w:jc w:val="center"/>
              <w:rPr>
                <w:sz w:val="24"/>
              </w:rPr>
            </w:pPr>
            <w:r>
              <w:rPr>
                <w:sz w:val="24"/>
              </w:rPr>
              <w:t>-66</w:t>
            </w:r>
          </w:p>
        </w:tc>
      </w:tr>
      <w:tr w:rsidR="00C839DC" w:rsidRPr="007706A5" w:rsidTr="003375CC">
        <w:trPr>
          <w:jc w:val="center"/>
        </w:trPr>
        <w:tc>
          <w:tcPr>
            <w:tcW w:w="2996" w:type="dxa"/>
            <w:tcBorders>
              <w:left w:val="single" w:sz="4" w:space="0" w:color="000000"/>
              <w:bottom w:val="single" w:sz="4" w:space="0" w:color="000000"/>
            </w:tcBorders>
            <w:shd w:val="clear" w:color="auto" w:fill="DBE5F1" w:themeFill="accent1" w:themeFillTint="33"/>
          </w:tcPr>
          <w:p w:rsidR="00C839DC" w:rsidRPr="007706A5" w:rsidRDefault="00C839DC" w:rsidP="007706A5">
            <w:pPr>
              <w:autoSpaceDE w:val="0"/>
              <w:snapToGrid w:val="0"/>
              <w:rPr>
                <w:sz w:val="24"/>
              </w:rPr>
            </w:pPr>
            <w:r>
              <w:rPr>
                <w:sz w:val="24"/>
              </w:rPr>
              <w:t>проти встановленого орду несення військової служби</w:t>
            </w:r>
          </w:p>
        </w:tc>
        <w:tc>
          <w:tcPr>
            <w:tcW w:w="1381" w:type="dxa"/>
            <w:tcBorders>
              <w:left w:val="single" w:sz="4" w:space="0" w:color="000000"/>
              <w:bottom w:val="single" w:sz="4" w:space="0" w:color="000000"/>
            </w:tcBorders>
            <w:shd w:val="clear" w:color="auto" w:fill="BBF2F3"/>
          </w:tcPr>
          <w:p w:rsidR="00C839DC" w:rsidRDefault="00C839DC" w:rsidP="009F7C05">
            <w:pPr>
              <w:autoSpaceDE w:val="0"/>
              <w:snapToGrid w:val="0"/>
              <w:jc w:val="center"/>
              <w:rPr>
                <w:sz w:val="24"/>
              </w:rPr>
            </w:pPr>
            <w:r>
              <w:rPr>
                <w:sz w:val="24"/>
              </w:rPr>
              <w:t>0</w:t>
            </w:r>
          </w:p>
        </w:tc>
        <w:tc>
          <w:tcPr>
            <w:tcW w:w="1304" w:type="dxa"/>
            <w:tcBorders>
              <w:left w:val="single" w:sz="4" w:space="0" w:color="000000"/>
              <w:bottom w:val="single" w:sz="4" w:space="0" w:color="000000"/>
            </w:tcBorders>
            <w:shd w:val="clear" w:color="auto" w:fill="C6D9F1" w:themeFill="text2" w:themeFillTint="33"/>
          </w:tcPr>
          <w:p w:rsidR="00C839DC" w:rsidRDefault="00C839DC" w:rsidP="009F7C05">
            <w:pPr>
              <w:autoSpaceDE w:val="0"/>
              <w:snapToGrid w:val="0"/>
              <w:jc w:val="center"/>
              <w:rPr>
                <w:sz w:val="24"/>
              </w:rPr>
            </w:pPr>
            <w:r>
              <w:rPr>
                <w:sz w:val="24"/>
              </w:rPr>
              <w:t>0</w:t>
            </w:r>
          </w:p>
        </w:tc>
        <w:tc>
          <w:tcPr>
            <w:tcW w:w="1248" w:type="dxa"/>
            <w:tcBorders>
              <w:left w:val="single" w:sz="4" w:space="0" w:color="000000"/>
              <w:bottom w:val="single" w:sz="4" w:space="0" w:color="000000"/>
            </w:tcBorders>
            <w:shd w:val="clear" w:color="auto" w:fill="BBF2F3"/>
          </w:tcPr>
          <w:p w:rsidR="00C839DC" w:rsidRDefault="00C839DC" w:rsidP="009F7C05">
            <w:pPr>
              <w:autoSpaceDE w:val="0"/>
              <w:snapToGrid w:val="0"/>
              <w:jc w:val="center"/>
              <w:rPr>
                <w:sz w:val="24"/>
              </w:rPr>
            </w:pPr>
            <w:r>
              <w:rPr>
                <w:sz w:val="24"/>
              </w:rPr>
              <w:t>1</w:t>
            </w:r>
          </w:p>
        </w:tc>
        <w:tc>
          <w:tcPr>
            <w:tcW w:w="1417" w:type="dxa"/>
            <w:tcBorders>
              <w:left w:val="single" w:sz="4" w:space="0" w:color="000000"/>
              <w:bottom w:val="single" w:sz="4" w:space="0" w:color="000000"/>
            </w:tcBorders>
            <w:shd w:val="clear" w:color="auto" w:fill="C6D9F1" w:themeFill="text2" w:themeFillTint="33"/>
          </w:tcPr>
          <w:p w:rsidR="00C839DC" w:rsidRDefault="00C839DC" w:rsidP="009F7C05">
            <w:pPr>
              <w:autoSpaceDE w:val="0"/>
              <w:snapToGrid w:val="0"/>
              <w:jc w:val="center"/>
              <w:rPr>
                <w:sz w:val="24"/>
              </w:rPr>
            </w:pPr>
            <w:r>
              <w:rPr>
                <w:sz w:val="24"/>
              </w:rPr>
              <w:t>0,89</w:t>
            </w:r>
          </w:p>
        </w:tc>
        <w:tc>
          <w:tcPr>
            <w:tcW w:w="1418" w:type="dxa"/>
            <w:tcBorders>
              <w:left w:val="single" w:sz="4" w:space="0" w:color="000000"/>
              <w:bottom w:val="single" w:sz="4" w:space="0" w:color="000000"/>
              <w:right w:val="single" w:sz="4" w:space="0" w:color="000000"/>
            </w:tcBorders>
            <w:shd w:val="clear" w:color="auto" w:fill="BBF2F3"/>
          </w:tcPr>
          <w:p w:rsidR="00C839DC" w:rsidRDefault="00C839DC" w:rsidP="009F7C05">
            <w:pPr>
              <w:autoSpaceDE w:val="0"/>
              <w:snapToGrid w:val="0"/>
              <w:jc w:val="center"/>
              <w:rPr>
                <w:sz w:val="24"/>
              </w:rPr>
            </w:pPr>
            <w:r>
              <w:rPr>
                <w:sz w:val="24"/>
              </w:rPr>
              <w:t>+100</w:t>
            </w:r>
          </w:p>
        </w:tc>
      </w:tr>
      <w:tr w:rsidR="007706A5" w:rsidRPr="007706A5" w:rsidTr="003375CC">
        <w:trPr>
          <w:jc w:val="center"/>
        </w:trPr>
        <w:tc>
          <w:tcPr>
            <w:tcW w:w="2996" w:type="dxa"/>
            <w:tcBorders>
              <w:left w:val="single" w:sz="4" w:space="0" w:color="000000"/>
              <w:bottom w:val="single" w:sz="4" w:space="0" w:color="000000"/>
            </w:tcBorders>
            <w:shd w:val="clear" w:color="auto" w:fill="DBE5F1" w:themeFill="accent1" w:themeFillTint="33"/>
          </w:tcPr>
          <w:p w:rsidR="007706A5" w:rsidRPr="007706A5" w:rsidRDefault="00C839DC" w:rsidP="007706A5">
            <w:pPr>
              <w:autoSpaceDE w:val="0"/>
              <w:snapToGrid w:val="0"/>
              <w:rPr>
                <w:sz w:val="24"/>
              </w:rPr>
            </w:pPr>
            <w:r>
              <w:rPr>
                <w:sz w:val="24"/>
              </w:rPr>
              <w:t>ухилення від військової служби</w:t>
            </w:r>
          </w:p>
        </w:tc>
        <w:tc>
          <w:tcPr>
            <w:tcW w:w="1381" w:type="dxa"/>
            <w:tcBorders>
              <w:left w:val="single" w:sz="4" w:space="0" w:color="000000"/>
              <w:bottom w:val="single" w:sz="4" w:space="0" w:color="000000"/>
            </w:tcBorders>
            <w:shd w:val="clear" w:color="auto" w:fill="BBF2F3"/>
          </w:tcPr>
          <w:p w:rsidR="007706A5" w:rsidRPr="007706A5" w:rsidRDefault="00C839DC" w:rsidP="009F7C05">
            <w:pPr>
              <w:autoSpaceDE w:val="0"/>
              <w:snapToGrid w:val="0"/>
              <w:jc w:val="center"/>
              <w:rPr>
                <w:sz w:val="24"/>
              </w:rPr>
            </w:pPr>
            <w:r>
              <w:rPr>
                <w:sz w:val="24"/>
              </w:rPr>
              <w:t>0</w:t>
            </w:r>
          </w:p>
        </w:tc>
        <w:tc>
          <w:tcPr>
            <w:tcW w:w="1304" w:type="dxa"/>
            <w:tcBorders>
              <w:left w:val="single" w:sz="4" w:space="0" w:color="000000"/>
              <w:bottom w:val="single" w:sz="4" w:space="0" w:color="000000"/>
            </w:tcBorders>
            <w:shd w:val="clear" w:color="auto" w:fill="C6D9F1" w:themeFill="text2" w:themeFillTint="33"/>
          </w:tcPr>
          <w:p w:rsidR="007706A5" w:rsidRPr="007706A5" w:rsidRDefault="00C839DC" w:rsidP="00C8378C">
            <w:pPr>
              <w:autoSpaceDE w:val="0"/>
              <w:snapToGrid w:val="0"/>
              <w:jc w:val="center"/>
              <w:rPr>
                <w:sz w:val="24"/>
              </w:rPr>
            </w:pPr>
            <w:r>
              <w:rPr>
                <w:sz w:val="24"/>
              </w:rPr>
              <w:t>0</w:t>
            </w:r>
          </w:p>
        </w:tc>
        <w:tc>
          <w:tcPr>
            <w:tcW w:w="1248" w:type="dxa"/>
            <w:tcBorders>
              <w:left w:val="single" w:sz="4" w:space="0" w:color="000000"/>
              <w:bottom w:val="single" w:sz="4" w:space="0" w:color="000000"/>
            </w:tcBorders>
            <w:shd w:val="clear" w:color="auto" w:fill="BBF2F3"/>
          </w:tcPr>
          <w:p w:rsidR="007706A5" w:rsidRPr="007706A5" w:rsidRDefault="00C839DC" w:rsidP="009F7C05">
            <w:pPr>
              <w:autoSpaceDE w:val="0"/>
              <w:snapToGrid w:val="0"/>
              <w:jc w:val="center"/>
              <w:rPr>
                <w:sz w:val="24"/>
              </w:rPr>
            </w:pPr>
            <w:r>
              <w:rPr>
                <w:sz w:val="24"/>
              </w:rPr>
              <w:t>1</w:t>
            </w:r>
          </w:p>
        </w:tc>
        <w:tc>
          <w:tcPr>
            <w:tcW w:w="1417" w:type="dxa"/>
            <w:tcBorders>
              <w:left w:val="single" w:sz="4" w:space="0" w:color="000000"/>
              <w:bottom w:val="single" w:sz="4" w:space="0" w:color="000000"/>
            </w:tcBorders>
            <w:shd w:val="clear" w:color="auto" w:fill="C6D9F1" w:themeFill="text2" w:themeFillTint="33"/>
          </w:tcPr>
          <w:p w:rsidR="007706A5" w:rsidRPr="007706A5" w:rsidRDefault="00C839DC" w:rsidP="009F7C05">
            <w:pPr>
              <w:autoSpaceDE w:val="0"/>
              <w:snapToGrid w:val="0"/>
              <w:jc w:val="center"/>
              <w:rPr>
                <w:sz w:val="24"/>
              </w:rPr>
            </w:pPr>
            <w:r>
              <w:rPr>
                <w:sz w:val="24"/>
              </w:rPr>
              <w:t>0,89</w:t>
            </w:r>
          </w:p>
        </w:tc>
        <w:tc>
          <w:tcPr>
            <w:tcW w:w="1418" w:type="dxa"/>
            <w:tcBorders>
              <w:left w:val="single" w:sz="4" w:space="0" w:color="000000"/>
              <w:bottom w:val="single" w:sz="4" w:space="0" w:color="000000"/>
              <w:right w:val="single" w:sz="4" w:space="0" w:color="000000"/>
            </w:tcBorders>
            <w:shd w:val="clear" w:color="auto" w:fill="BBF2F3"/>
          </w:tcPr>
          <w:p w:rsidR="007706A5" w:rsidRPr="007706A5" w:rsidRDefault="00A76E8F" w:rsidP="009F7C05">
            <w:pPr>
              <w:autoSpaceDE w:val="0"/>
              <w:snapToGrid w:val="0"/>
              <w:jc w:val="center"/>
              <w:rPr>
                <w:sz w:val="24"/>
              </w:rPr>
            </w:pPr>
            <w:r>
              <w:rPr>
                <w:sz w:val="24"/>
              </w:rPr>
              <w:t>+100</w:t>
            </w:r>
          </w:p>
        </w:tc>
      </w:tr>
    </w:tbl>
    <w:p w:rsidR="00EB2567" w:rsidRPr="007706A5" w:rsidRDefault="00EB2567" w:rsidP="00EB2567">
      <w:pPr>
        <w:pStyle w:val="a5"/>
        <w:ind w:firstLine="708"/>
        <w:rPr>
          <w:sz w:val="24"/>
        </w:rPr>
      </w:pPr>
    </w:p>
    <w:p w:rsidR="00EB2567" w:rsidRPr="00841EB4" w:rsidRDefault="00EB2567" w:rsidP="00EB2567">
      <w:pPr>
        <w:spacing w:line="276" w:lineRule="auto"/>
        <w:ind w:firstLine="708"/>
        <w:jc w:val="both"/>
      </w:pPr>
      <w:r w:rsidRPr="00841EB4">
        <w:t xml:space="preserve">На кінець звітного періоду залишились нерозглянутими </w:t>
      </w:r>
      <w:r w:rsidR="00C839DC">
        <w:t>27</w:t>
      </w:r>
      <w:r>
        <w:t xml:space="preserve"> </w:t>
      </w:r>
      <w:r w:rsidR="00C839DC">
        <w:t>кримінальних проваджень (31,76</w:t>
      </w:r>
      <w:r w:rsidRPr="00841EB4">
        <w:t xml:space="preserve"> %</w:t>
      </w:r>
      <w:r w:rsidRPr="00841EB4">
        <w:rPr>
          <w:lang w:val="ru-RU"/>
        </w:rPr>
        <w:t xml:space="preserve">). </w:t>
      </w:r>
      <w:r w:rsidR="00C839DC">
        <w:t>У 2021</w:t>
      </w:r>
      <w:r w:rsidRPr="00841EB4">
        <w:t xml:space="preserve"> році залишок </w:t>
      </w:r>
      <w:r w:rsidR="00C839DC">
        <w:t>нерозглянутих справ становив  32</w:t>
      </w:r>
      <w:r w:rsidRPr="00841EB4">
        <w:t xml:space="preserve"> </w:t>
      </w:r>
      <w:r w:rsidR="00C839DC">
        <w:lastRenderedPageBreak/>
        <w:t>провадження (27,58</w:t>
      </w:r>
      <w:r w:rsidRPr="00841EB4">
        <w:t xml:space="preserve">%), що свідчить про незначне  покращення оперативності розгляду справ у поточному звітному періоді. </w:t>
      </w:r>
    </w:p>
    <w:p w:rsidR="00EB2567" w:rsidRPr="00841EB4" w:rsidRDefault="00EB2567" w:rsidP="00EB2567">
      <w:pPr>
        <w:spacing w:line="276" w:lineRule="auto"/>
        <w:jc w:val="both"/>
      </w:pPr>
      <w:r w:rsidRPr="00841EB4">
        <w:tab/>
        <w:t>Значною перешкодою оперативності розгляду кримінальних справ є неявка в судове засідання учасників процесу. В більшості випадків розгляд справи було відкладено у зв’язку з неприбуттям обвинуваченого (</w:t>
      </w:r>
      <w:r w:rsidR="001833FA">
        <w:t>65 – 21,95</w:t>
      </w:r>
      <w:r w:rsidRPr="00841EB4">
        <w:t xml:space="preserve"> %), у зв’язку з неприбуттям свідків та потерпілих (</w:t>
      </w:r>
      <w:r w:rsidR="001833FA">
        <w:t>28</w:t>
      </w:r>
      <w:r>
        <w:t xml:space="preserve"> – </w:t>
      </w:r>
      <w:r w:rsidR="001833FA">
        <w:t>9,46</w:t>
      </w:r>
      <w:r>
        <w:t>%)</w:t>
      </w:r>
      <w:r w:rsidRPr="00841EB4">
        <w:t>, іншими підставами (клопотання прокурора, захис</w:t>
      </w:r>
      <w:r w:rsidR="001833FA">
        <w:t>ника, виклик експертів тощо) 173</w:t>
      </w:r>
      <w:r w:rsidRPr="00841EB4">
        <w:t xml:space="preserve"> </w:t>
      </w:r>
      <w:r>
        <w:t>–(</w:t>
      </w:r>
      <w:r w:rsidR="001833FA">
        <w:t>58,48</w:t>
      </w:r>
      <w:r w:rsidRPr="00841EB4">
        <w:t xml:space="preserve"> %) порівняно від кількості усіх фактів відкладення розгляду справи.  </w:t>
      </w:r>
    </w:p>
    <w:p w:rsidR="00EB2567" w:rsidRPr="00841EB4" w:rsidRDefault="001833FA" w:rsidP="00EB2567">
      <w:pPr>
        <w:spacing w:line="276" w:lineRule="auto"/>
        <w:ind w:firstLine="708"/>
        <w:jc w:val="both"/>
      </w:pPr>
      <w:r>
        <w:t>Із розглянутих у 2022</w:t>
      </w:r>
      <w:r w:rsidR="00EB2567" w:rsidRPr="00841EB4">
        <w:t xml:space="preserve"> році матеріа</w:t>
      </w:r>
      <w:r>
        <w:t>лів кримінального провадження 85 проваджень</w:t>
      </w:r>
      <w:r w:rsidR="00EB2567" w:rsidRPr="00841EB4">
        <w:t xml:space="preserve"> були розглянуті із фіксуванням судового </w:t>
      </w:r>
      <w:r>
        <w:t>процесу технічними засобами, в 2 провадженнях</w:t>
      </w:r>
      <w:r w:rsidR="00EB2567" w:rsidRPr="00841EB4">
        <w:t xml:space="preserve"> розгляд здійснювався  у режимі </w:t>
      </w:r>
      <w:proofErr w:type="spellStart"/>
      <w:r w:rsidR="00EB2567" w:rsidRPr="00841EB4">
        <w:t>відеоконференції</w:t>
      </w:r>
      <w:proofErr w:type="spellEnd"/>
      <w:r w:rsidR="00EB2567" w:rsidRPr="00841EB4">
        <w:t xml:space="preserve">.  Судом присяжних справи не розглядалися.  </w:t>
      </w:r>
    </w:p>
    <w:p w:rsidR="00EB2567" w:rsidRPr="00841EB4" w:rsidRDefault="00EB2567" w:rsidP="00EB2567">
      <w:pPr>
        <w:spacing w:line="276" w:lineRule="auto"/>
        <w:jc w:val="both"/>
      </w:pPr>
      <w:r w:rsidRPr="00841EB4">
        <w:tab/>
        <w:t>Впродовж звітного пе</w:t>
      </w:r>
      <w:r w:rsidR="001833FA">
        <w:t xml:space="preserve">ріоду перебувало на розгляді </w:t>
      </w:r>
      <w:r w:rsidR="00203389">
        <w:t>265</w:t>
      </w:r>
      <w:r w:rsidRPr="00841EB4">
        <w:t xml:space="preserve"> клопотань слідчого, прокурора та інших осіб під час досудового розслідування, в </w:t>
      </w:r>
      <w:proofErr w:type="spellStart"/>
      <w:r w:rsidRPr="00841EB4">
        <w:t>т.ч</w:t>
      </w:r>
      <w:proofErr w:type="spellEnd"/>
      <w:r w:rsidRPr="00841EB4">
        <w:t>. надійшло в зв</w:t>
      </w:r>
      <w:r w:rsidR="00203389">
        <w:t>ітному періоді – 265</w:t>
      </w:r>
      <w:r w:rsidRPr="00841EB4">
        <w:t xml:space="preserve">  (в поп</w:t>
      </w:r>
      <w:r w:rsidR="001833FA">
        <w:t>ередньому звітному  періоді – 2021 рік</w:t>
      </w:r>
      <w:r w:rsidR="00203389">
        <w:t xml:space="preserve"> </w:t>
      </w:r>
      <w:r w:rsidR="001833FA">
        <w:t xml:space="preserve"> (349</w:t>
      </w:r>
      <w:r w:rsidRPr="00841EB4">
        <w:t xml:space="preserve"> ). Також перебувало </w:t>
      </w:r>
      <w:r w:rsidR="00203389">
        <w:t>40</w:t>
      </w:r>
      <w:r w:rsidRPr="00841EB4">
        <w:t xml:space="preserve"> скарг на дії, рішення чи бездіяльність слідчого, прокурора та інших осіб  під час д</w:t>
      </w:r>
      <w:r w:rsidR="00203389">
        <w:t>осудового розслідування, в  2021</w:t>
      </w:r>
      <w:r w:rsidRPr="00841EB4">
        <w:t xml:space="preserve"> році</w:t>
      </w:r>
      <w:r w:rsidR="00203389">
        <w:t xml:space="preserve"> – 57</w:t>
      </w:r>
      <w:r w:rsidRPr="00841EB4">
        <w:t xml:space="preserve">  скарги.  </w:t>
      </w:r>
    </w:p>
    <w:p w:rsidR="00EB2567" w:rsidRPr="00841EB4" w:rsidRDefault="00203389" w:rsidP="00EB2567">
      <w:pPr>
        <w:spacing w:line="276" w:lineRule="auto"/>
        <w:ind w:firstLine="708"/>
        <w:jc w:val="both"/>
      </w:pPr>
      <w:r>
        <w:t>265</w:t>
      </w:r>
      <w:r w:rsidR="00EB2567" w:rsidRPr="00841EB4">
        <w:t xml:space="preserve"> клопотань розглянуто слідчими суддями у звітном</w:t>
      </w:r>
      <w:r>
        <w:t xml:space="preserve">у періоді, у </w:t>
      </w:r>
      <w:proofErr w:type="spellStart"/>
      <w:r>
        <w:t>т.ч</w:t>
      </w:r>
      <w:proofErr w:type="spellEnd"/>
      <w:r>
        <w:t>. задоволено 237  клопотань  (89,43</w:t>
      </w:r>
      <w:r w:rsidR="00EB2567" w:rsidRPr="00841EB4">
        <w:t xml:space="preserve"> %). Розглянуто судом </w:t>
      </w:r>
      <w:r>
        <w:t>40</w:t>
      </w:r>
      <w:r w:rsidR="00EB2567" w:rsidRPr="00841EB4">
        <w:t xml:space="preserve"> скар</w:t>
      </w:r>
      <w:r w:rsidR="00205539">
        <w:t>г</w:t>
      </w:r>
      <w:r w:rsidR="00EB2567" w:rsidRPr="00841EB4">
        <w:t xml:space="preserve"> на дії, рішення чи бездіяльність слідчого, прокурора та інших осіб під час досудового розслідування, у т. </w:t>
      </w:r>
      <w:r>
        <w:t>ч.  задоволено 27</w:t>
      </w:r>
      <w:r w:rsidR="00EB2567" w:rsidRPr="00841EB4">
        <w:t xml:space="preserve">   скарг, що становить </w:t>
      </w:r>
      <w:r w:rsidR="00793700">
        <w:t>67,5 %,  у 2021</w:t>
      </w:r>
      <w:r w:rsidR="00EB2567" w:rsidRPr="00841EB4">
        <w:t xml:space="preserve"> році  </w:t>
      </w:r>
      <w:r w:rsidR="00793700">
        <w:t>45,61</w:t>
      </w:r>
      <w:r w:rsidR="00EB2567" w:rsidRPr="00841EB4">
        <w:t xml:space="preserve"> % задоволених скарг. </w:t>
      </w:r>
    </w:p>
    <w:p w:rsidR="00EB2567" w:rsidRPr="00841EB4" w:rsidRDefault="00EB2567" w:rsidP="00EB2567">
      <w:pPr>
        <w:spacing w:line="276" w:lineRule="auto"/>
        <w:ind w:firstLine="708"/>
        <w:jc w:val="both"/>
      </w:pPr>
      <w:r w:rsidRPr="00841EB4">
        <w:t>Найбільша кількість клопотань, що надійшли у звітному періоді до суду, це клопотання: тимчасовий доступ</w:t>
      </w:r>
      <w:r w:rsidR="00793700">
        <w:t xml:space="preserve"> до речей та документів – 92 (34,71</w:t>
      </w:r>
      <w:r w:rsidRPr="00841EB4">
        <w:t xml:space="preserve">%),    арешт майна – </w:t>
      </w:r>
      <w:r w:rsidR="00793700">
        <w:t>93 (35,09</w:t>
      </w:r>
      <w:r w:rsidRPr="00841EB4">
        <w:t>%), проведення обшуку -</w:t>
      </w:r>
      <w:r w:rsidR="00793700">
        <w:t>30  (11,3</w:t>
      </w:r>
      <w:r w:rsidRPr="00841EB4">
        <w:t>2%).</w:t>
      </w:r>
    </w:p>
    <w:p w:rsidR="00EB2567" w:rsidRPr="00841EB4" w:rsidRDefault="00EB2567" w:rsidP="00EB2567">
      <w:pPr>
        <w:spacing w:line="276" w:lineRule="auto"/>
        <w:ind w:firstLine="708"/>
        <w:jc w:val="both"/>
      </w:pPr>
      <w:r w:rsidRPr="00841EB4">
        <w:t xml:space="preserve">Із </w:t>
      </w:r>
      <w:r w:rsidR="00793700">
        <w:t>6</w:t>
      </w:r>
      <w:r w:rsidRPr="00841EB4">
        <w:t xml:space="preserve"> клопотань щодо застосування запобіжних заходів: в </w:t>
      </w:r>
      <w:r w:rsidR="00793700">
        <w:t>6</w:t>
      </w:r>
      <w:r w:rsidRPr="00841EB4">
        <w:t xml:space="preserve"> вирішувалось питання про застосування запобіжного заходу у вигляді </w:t>
      </w:r>
      <w:r w:rsidR="00793700">
        <w:t>тримання під вартою</w:t>
      </w:r>
      <w:r w:rsidRPr="00841EB4">
        <w:t xml:space="preserve"> (</w:t>
      </w:r>
      <w:r w:rsidR="00793700">
        <w:t>в 2021 року такий показник становив -</w:t>
      </w:r>
      <w:r w:rsidRPr="00841EB4">
        <w:t>8</w:t>
      </w:r>
      <w:r w:rsidR="00793700">
        <w:t>)</w:t>
      </w:r>
      <w:r w:rsidRPr="00841EB4">
        <w:t>. Із перерахованих клопотань</w:t>
      </w:r>
      <w:r w:rsidR="00C8132B">
        <w:t xml:space="preserve">, скарг </w:t>
      </w:r>
      <w:r w:rsidRPr="00841EB4">
        <w:t xml:space="preserve"> </w:t>
      </w:r>
      <w:r w:rsidR="00793700">
        <w:t>274</w:t>
      </w:r>
      <w:r w:rsidRPr="00841EB4">
        <w:t xml:space="preserve"> (</w:t>
      </w:r>
      <w:r w:rsidR="00C8132B">
        <w:t>85,1</w:t>
      </w:r>
      <w:r w:rsidRPr="00841EB4">
        <w:t xml:space="preserve"> %) було задоволено слідчими суддями.</w:t>
      </w:r>
    </w:p>
    <w:p w:rsidR="00EB2567" w:rsidRDefault="00EB2567" w:rsidP="00EB2567">
      <w:pPr>
        <w:pStyle w:val="a5"/>
        <w:ind w:firstLine="708"/>
      </w:pPr>
    </w:p>
    <w:p w:rsidR="00EB2567" w:rsidRDefault="00EB2567" w:rsidP="00EB2567">
      <w:pPr>
        <w:pStyle w:val="a5"/>
        <w:ind w:firstLine="708"/>
      </w:pPr>
    </w:p>
    <w:p w:rsidR="00EB2567" w:rsidRDefault="009B31B1" w:rsidP="00EB2567">
      <w:pPr>
        <w:pStyle w:val="a5"/>
        <w:ind w:firstLine="708"/>
      </w:pPr>
      <w:r>
        <w:rPr>
          <w:noProof/>
          <w:lang w:eastAsia="uk-UA"/>
        </w:rPr>
        <w:lastRenderedPageBreak/>
        <w:drawing>
          <wp:inline distT="0" distB="0" distL="0" distR="0" wp14:anchorId="0D4768E1" wp14:editId="078F2F8C">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2567" w:rsidRDefault="00EB2567" w:rsidP="00EB2567">
      <w:pPr>
        <w:pStyle w:val="a5"/>
        <w:ind w:firstLine="708"/>
      </w:pPr>
    </w:p>
    <w:p w:rsidR="00EB2567" w:rsidRDefault="00EB2567" w:rsidP="00EB2567">
      <w:pPr>
        <w:pStyle w:val="a5"/>
        <w:ind w:firstLine="708"/>
      </w:pPr>
    </w:p>
    <w:p w:rsidR="00EB2567" w:rsidRDefault="00EB2567" w:rsidP="00EB2567">
      <w:pPr>
        <w:pStyle w:val="a5"/>
        <w:ind w:firstLine="708"/>
      </w:pPr>
      <w:r w:rsidRPr="00C13880">
        <w:rPr>
          <w:noProof/>
          <w:shd w:val="clear" w:color="auto" w:fill="FFFF00"/>
          <w:lang w:eastAsia="uk-UA"/>
        </w:rPr>
        <w:drawing>
          <wp:inline distT="0" distB="0" distL="0" distR="0" wp14:anchorId="1EC4FDBC" wp14:editId="0646DC2F">
            <wp:extent cx="5829300" cy="3543300"/>
            <wp:effectExtent l="3810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2567" w:rsidRDefault="00EB2567" w:rsidP="00EB2567">
      <w:pPr>
        <w:pStyle w:val="a5"/>
        <w:ind w:firstLine="708"/>
      </w:pPr>
    </w:p>
    <w:p w:rsidR="00EB2567" w:rsidRDefault="00EB2567" w:rsidP="00EB2567">
      <w:pPr>
        <w:pStyle w:val="a5"/>
        <w:ind w:firstLine="708"/>
      </w:pPr>
    </w:p>
    <w:p w:rsidR="00EB2567" w:rsidRPr="00A21DE4" w:rsidRDefault="00EB2567" w:rsidP="00EB2567">
      <w:pPr>
        <w:pStyle w:val="a5"/>
        <w:spacing w:line="276" w:lineRule="auto"/>
        <w:ind w:firstLine="708"/>
      </w:pPr>
      <w:r w:rsidRPr="00A21DE4">
        <w:t xml:space="preserve">За поданнями та клопотаннями в порядку виконання судового рішення в провадженні суду знаходились </w:t>
      </w:r>
      <w:r w:rsidR="00F04BAF">
        <w:t>53 матеріали</w:t>
      </w:r>
      <w:r w:rsidRPr="00A21DE4">
        <w:t xml:space="preserve">, на </w:t>
      </w:r>
      <w:r w:rsidR="00F04BAF">
        <w:t>9,43</w:t>
      </w:r>
      <w:r w:rsidRPr="00A21DE4">
        <w:t>% більше ніж у 20</w:t>
      </w:r>
      <w:r w:rsidR="00F04BAF">
        <w:t>21</w:t>
      </w:r>
      <w:r w:rsidRPr="00A21DE4">
        <w:t xml:space="preserve"> році – </w:t>
      </w:r>
      <w:r w:rsidR="00F04BAF">
        <w:t>48</w:t>
      </w:r>
      <w:r w:rsidRPr="00A21DE4">
        <w:t xml:space="preserve"> матеріалів. </w:t>
      </w:r>
      <w:r w:rsidR="00F04BAF">
        <w:t>52 клопотання</w:t>
      </w:r>
      <w:r w:rsidRPr="00A21DE4">
        <w:t xml:space="preserve"> розглянуто у звітному періоді, у т. ч. задоволено </w:t>
      </w:r>
      <w:r w:rsidR="00F04BAF">
        <w:t>46</w:t>
      </w:r>
      <w:r w:rsidRPr="00A21DE4">
        <w:t xml:space="preserve">,  що становить </w:t>
      </w:r>
      <w:r w:rsidR="00F04BAF">
        <w:t>88,46</w:t>
      </w:r>
      <w:r w:rsidRPr="00A21DE4">
        <w:t>% усіх розглянутих судами подань та клопотань.</w:t>
      </w:r>
    </w:p>
    <w:p w:rsidR="00EB2567" w:rsidRPr="00A21DE4" w:rsidRDefault="00EB2567" w:rsidP="00EB2567">
      <w:pPr>
        <w:pStyle w:val="a5"/>
        <w:spacing w:line="276" w:lineRule="auto"/>
        <w:ind w:firstLine="708"/>
      </w:pPr>
      <w:r w:rsidRPr="00A21DE4">
        <w:lastRenderedPageBreak/>
        <w:t xml:space="preserve">Подання та клопотання в порядку виконання судових рішень у кримінальних справах, що знаходилися в провадженні суду, здебільшого стосувались: про звільнення від призначеного покарання з випробовуванням після закінчення іспитового строку – </w:t>
      </w:r>
      <w:r w:rsidR="00F04BAF">
        <w:t>33</w:t>
      </w:r>
      <w:r w:rsidRPr="00A21DE4">
        <w:t xml:space="preserve"> (</w:t>
      </w:r>
      <w:r w:rsidR="00F04BAF">
        <w:t>62,26</w:t>
      </w:r>
      <w:r w:rsidRPr="00A21DE4">
        <w:t xml:space="preserve">%), </w:t>
      </w:r>
      <w:r w:rsidR="00F04BAF">
        <w:t xml:space="preserve">про установлення, припинення адміністративного нагляду -8 (15,09%), </w:t>
      </w:r>
      <w:r w:rsidRPr="00A21DE4">
        <w:t xml:space="preserve">про направлення звільненого від покарання з випробуванням для відбування покарання призначеного </w:t>
      </w:r>
      <w:proofErr w:type="spellStart"/>
      <w:r w:rsidRPr="00A21DE4">
        <w:t>вироком</w:t>
      </w:r>
      <w:proofErr w:type="spellEnd"/>
      <w:r w:rsidRPr="00A21DE4">
        <w:t xml:space="preserve"> –</w:t>
      </w:r>
      <w:r w:rsidR="00F04BAF">
        <w:t>1</w:t>
      </w:r>
      <w:r w:rsidRPr="00A21DE4">
        <w:t xml:space="preserve">  (</w:t>
      </w:r>
      <w:r w:rsidR="00F04BAF">
        <w:t>1,89</w:t>
      </w:r>
      <w:r w:rsidRPr="00A21DE4">
        <w:t xml:space="preserve"> %), про заміну покарання -</w:t>
      </w:r>
      <w:r w:rsidR="00F04BAF">
        <w:t>1</w:t>
      </w:r>
      <w:r w:rsidRPr="00A21DE4">
        <w:t xml:space="preserve"> (</w:t>
      </w:r>
      <w:r w:rsidR="00F04BAF">
        <w:t>1,89</w:t>
      </w:r>
      <w:r w:rsidRPr="00A21DE4">
        <w:t>) , інші -</w:t>
      </w:r>
      <w:r w:rsidR="00F04BAF">
        <w:t>9 (16,9</w:t>
      </w:r>
      <w:r w:rsidRPr="00A21DE4">
        <w:t>8).</w:t>
      </w:r>
    </w:p>
    <w:p w:rsidR="00EB2567" w:rsidRPr="00A21DE4" w:rsidRDefault="00EB2567" w:rsidP="00EB2567">
      <w:pPr>
        <w:spacing w:line="276" w:lineRule="auto"/>
        <w:ind w:firstLine="708"/>
        <w:jc w:val="both"/>
        <w:rPr>
          <w:szCs w:val="28"/>
        </w:rPr>
      </w:pPr>
      <w:r w:rsidRPr="00A21DE4">
        <w:t xml:space="preserve">За </w:t>
      </w:r>
      <w:proofErr w:type="spellStart"/>
      <w:r w:rsidRPr="00A21DE4">
        <w:t>вироками</w:t>
      </w:r>
      <w:proofErr w:type="spellEnd"/>
      <w:r w:rsidRPr="00A21DE4">
        <w:t xml:space="preserve"> суду, що набрали законної сили у звітн</w:t>
      </w:r>
      <w:r w:rsidR="004F7230">
        <w:t>ому періоді, засуджено 6</w:t>
      </w:r>
      <w:r w:rsidRPr="00A21DE4">
        <w:t xml:space="preserve">5 осіб. </w:t>
      </w:r>
      <w:r w:rsidRPr="00A21DE4">
        <w:rPr>
          <w:rFonts w:eastAsia="Calibri"/>
          <w:szCs w:val="28"/>
          <w:lang w:eastAsia="en-US"/>
        </w:rPr>
        <w:t xml:space="preserve">Звільнено від відбування покарання з випробуванням 27 осіб, що становить </w:t>
      </w:r>
      <w:r w:rsidR="004F7230">
        <w:rPr>
          <w:rFonts w:eastAsia="Calibri"/>
          <w:szCs w:val="28"/>
          <w:lang w:eastAsia="en-US"/>
        </w:rPr>
        <w:t>41,53</w:t>
      </w:r>
      <w:r w:rsidRPr="00A21DE4">
        <w:rPr>
          <w:rFonts w:eastAsia="Calibri"/>
          <w:szCs w:val="28"/>
          <w:lang w:eastAsia="en-US"/>
        </w:rPr>
        <w:t xml:space="preserve"> % від числа усіх засуджених</w:t>
      </w:r>
    </w:p>
    <w:p w:rsidR="00EB2567" w:rsidRDefault="00EB2567" w:rsidP="00EB2567">
      <w:pPr>
        <w:spacing w:line="276" w:lineRule="auto"/>
        <w:ind w:firstLine="708"/>
        <w:jc w:val="both"/>
      </w:pPr>
      <w:r w:rsidRPr="00A21DE4">
        <w:t xml:space="preserve">За тяжкістю скоєних злочинів, за якими було засуджено осіб, </w:t>
      </w:r>
      <w:proofErr w:type="spellStart"/>
      <w:r w:rsidRPr="00A21DE4">
        <w:t>вироки</w:t>
      </w:r>
      <w:proofErr w:type="spellEnd"/>
      <w:r w:rsidRPr="00A21DE4">
        <w:t xml:space="preserve"> відносно яких набрали законної сили у звітному періоді, класифікуються наступним чином: </w:t>
      </w:r>
    </w:p>
    <w:p w:rsidR="00E503DE" w:rsidRDefault="00E503DE" w:rsidP="00EB2567">
      <w:pPr>
        <w:spacing w:line="276" w:lineRule="auto"/>
        <w:ind w:firstLine="708"/>
        <w:jc w:val="both"/>
      </w:pPr>
    </w:p>
    <w:p w:rsidR="00E503DE" w:rsidRPr="00A21DE4" w:rsidRDefault="00E503DE" w:rsidP="00EB2567">
      <w:pPr>
        <w:spacing w:line="276" w:lineRule="auto"/>
        <w:ind w:firstLine="708"/>
        <w:jc w:val="both"/>
      </w:pPr>
      <w:r>
        <w:rPr>
          <w:noProof/>
          <w:lang w:eastAsia="uk-UA"/>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567" w:rsidRPr="00A21DE4" w:rsidRDefault="00EB2567" w:rsidP="00EB2567">
      <w:pPr>
        <w:spacing w:line="276" w:lineRule="auto"/>
        <w:ind w:firstLine="708"/>
        <w:jc w:val="both"/>
      </w:pPr>
    </w:p>
    <w:p w:rsidR="00EB2567" w:rsidRDefault="00EB2567" w:rsidP="00EB2567">
      <w:pPr>
        <w:spacing w:line="276" w:lineRule="auto"/>
        <w:ind w:firstLine="708"/>
        <w:jc w:val="both"/>
      </w:pPr>
      <w:r w:rsidRPr="00A21DE4">
        <w:t xml:space="preserve">До позбавлення волі на певний строк засуджено </w:t>
      </w:r>
      <w:r w:rsidR="009F7C05">
        <w:t>4</w:t>
      </w:r>
      <w:r w:rsidRPr="00A21DE4">
        <w:t xml:space="preserve"> осіб (</w:t>
      </w:r>
      <w:r w:rsidR="009F7C05">
        <w:t>6,15</w:t>
      </w:r>
      <w:r w:rsidRPr="00A21DE4">
        <w:t xml:space="preserve">%), громадські </w:t>
      </w:r>
      <w:r w:rsidR="009F7C05">
        <w:t>роботи застосовано до 6 осіб  (9,23</w:t>
      </w:r>
      <w:r w:rsidRPr="00A21DE4">
        <w:t xml:space="preserve"> %), із призначенням покарання у вигл</w:t>
      </w:r>
      <w:r w:rsidR="009F7C05">
        <w:t>яді штрафу засуджено 22 особи (33,85</w:t>
      </w:r>
      <w:r w:rsidRPr="00A21DE4">
        <w:t xml:space="preserve"> %), арешт - </w:t>
      </w:r>
      <w:r w:rsidR="009F7C05">
        <w:t>2</w:t>
      </w:r>
      <w:r w:rsidRPr="00A21DE4">
        <w:t xml:space="preserve"> особи </w:t>
      </w:r>
      <w:r w:rsidR="009F7C05">
        <w:t>(3,08</w:t>
      </w:r>
      <w:r w:rsidRPr="00A21DE4">
        <w:t>%), обмеження волі -</w:t>
      </w:r>
      <w:r w:rsidR="009F7C05">
        <w:t>3</w:t>
      </w:r>
      <w:r w:rsidRPr="00A21DE4">
        <w:t xml:space="preserve"> (</w:t>
      </w:r>
      <w:r w:rsidR="009F7C05">
        <w:t>4,62</w:t>
      </w:r>
      <w:r w:rsidRPr="00A21DE4">
        <w:t xml:space="preserve">%). </w:t>
      </w:r>
    </w:p>
    <w:p w:rsidR="00EB2567" w:rsidRDefault="00EB2567" w:rsidP="00EB2567">
      <w:pPr>
        <w:jc w:val="both"/>
      </w:pPr>
    </w:p>
    <w:p w:rsidR="00647A75" w:rsidRDefault="00647A75" w:rsidP="00EB2567">
      <w:pPr>
        <w:jc w:val="both"/>
      </w:pPr>
    </w:p>
    <w:p w:rsidR="00EB2567" w:rsidRDefault="00EB2567" w:rsidP="00EB2567">
      <w:pPr>
        <w:ind w:firstLine="708"/>
        <w:jc w:val="both"/>
      </w:pPr>
      <w:r>
        <w:t>Призначені судом</w:t>
      </w:r>
      <w:r w:rsidRPr="00ED04E8">
        <w:t xml:space="preserve"> </w:t>
      </w:r>
      <w:r w:rsidRPr="00341AB0">
        <w:rPr>
          <w:b/>
        </w:rPr>
        <w:t>міри покарання</w:t>
      </w:r>
      <w:r w:rsidRPr="00ED04E8">
        <w:t xml:space="preserve"> наведені </w:t>
      </w:r>
      <w:r>
        <w:t>у</w:t>
      </w:r>
      <w:r w:rsidRPr="00ED04E8">
        <w:t xml:space="preserve"> діаграмі:</w:t>
      </w:r>
      <w:r>
        <w:br/>
      </w:r>
    </w:p>
    <w:p w:rsidR="00EB2567" w:rsidRDefault="00EB2567" w:rsidP="00380600">
      <w:pPr>
        <w:jc w:val="center"/>
        <w:rPr>
          <w:b/>
          <w:sz w:val="32"/>
          <w:szCs w:val="32"/>
        </w:rPr>
      </w:pPr>
      <w:r w:rsidRPr="009B07AA">
        <w:rPr>
          <w:b/>
          <w:noProof/>
          <w:sz w:val="32"/>
          <w:szCs w:val="32"/>
          <w:shd w:val="clear" w:color="auto" w:fill="FFC000"/>
          <w:lang w:eastAsia="uk-UA"/>
        </w:rPr>
        <w:lastRenderedPageBreak/>
        <w:drawing>
          <wp:inline distT="0" distB="0" distL="0" distR="0" wp14:anchorId="6779A41B" wp14:editId="40998004">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567" w:rsidRPr="00D54A9C" w:rsidRDefault="00EB2567" w:rsidP="00EB2567">
      <w:pPr>
        <w:spacing w:line="276" w:lineRule="auto"/>
        <w:ind w:firstLine="708"/>
        <w:jc w:val="both"/>
      </w:pPr>
      <w:r w:rsidRPr="00D54A9C">
        <w:t>Із загальної кількості засуджених осіб, яких звільнено від покарання з випробуванням, відсоток засуджених за скоєння тяжких злочинів і злочинів</w:t>
      </w:r>
      <w:r w:rsidR="00035F88">
        <w:t xml:space="preserve"> середньої тяжкості становить 33,33%  та  22,22</w:t>
      </w:r>
      <w:r w:rsidRPr="00D54A9C">
        <w:t xml:space="preserve"> %  відповідно. </w:t>
      </w:r>
    </w:p>
    <w:p w:rsidR="00EB2567" w:rsidRPr="00D54A9C" w:rsidRDefault="00EB2567" w:rsidP="00EB2567">
      <w:pPr>
        <w:spacing w:line="276" w:lineRule="auto"/>
        <w:ind w:firstLine="708"/>
        <w:jc w:val="both"/>
      </w:pPr>
      <w:r w:rsidRPr="00D54A9C">
        <w:t xml:space="preserve">Із числа засуджених до позбавлення волі, за скоєння особливо тяжких </w:t>
      </w:r>
      <w:r w:rsidR="00035F88">
        <w:t>та тяжких злочинів не засуджено нікого</w:t>
      </w:r>
      <w:r w:rsidRPr="00D54A9C">
        <w:t xml:space="preserve">, за злочини середньої тяжкості – </w:t>
      </w:r>
      <w:r w:rsidR="00035F88">
        <w:t>3 (75</w:t>
      </w:r>
      <w:r w:rsidRPr="00D54A9C">
        <w:t xml:space="preserve"> %) осіб.</w:t>
      </w:r>
    </w:p>
    <w:p w:rsidR="00EB2567" w:rsidRPr="00D54A9C" w:rsidRDefault="00EB2567" w:rsidP="00EB2567">
      <w:pPr>
        <w:spacing w:line="276" w:lineRule="auto"/>
        <w:jc w:val="both"/>
      </w:pPr>
      <w:r w:rsidRPr="00D54A9C">
        <w:tab/>
        <w:t xml:space="preserve">Питома вага неповнолітніх засуджених у загальній кількості засуджених становить </w:t>
      </w:r>
      <w:r w:rsidR="007C7C59">
        <w:t>1,54</w:t>
      </w:r>
      <w:r w:rsidRPr="00D54A9C">
        <w:t>%.</w:t>
      </w:r>
      <w:r w:rsidRPr="00D54A9C">
        <w:tab/>
      </w:r>
    </w:p>
    <w:p w:rsidR="00EB2567" w:rsidRPr="00D54A9C" w:rsidRDefault="00EB2567" w:rsidP="00F2531E">
      <w:pPr>
        <w:spacing w:line="276" w:lineRule="auto"/>
      </w:pPr>
    </w:p>
    <w:p w:rsidR="00EB2567" w:rsidRPr="00D54A9C" w:rsidRDefault="000A02ED" w:rsidP="00380600">
      <w:pPr>
        <w:jc w:val="center"/>
      </w:pPr>
      <w:r w:rsidRPr="006B1F59">
        <w:rPr>
          <w:noProof/>
          <w:shd w:val="clear" w:color="auto" w:fill="0070C0"/>
          <w:lang w:eastAsia="uk-UA"/>
        </w:rPr>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567" w:rsidRDefault="006B1F59" w:rsidP="00380600">
      <w:pPr>
        <w:jc w:val="center"/>
      </w:pPr>
      <w:r>
        <w:rPr>
          <w:noProof/>
          <w:lang w:eastAsia="uk-UA"/>
        </w:rPr>
        <w:lastRenderedPageBreak/>
        <w:drawing>
          <wp:inline distT="0" distB="0" distL="0" distR="0">
            <wp:extent cx="6048375" cy="3857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0600" w:rsidRDefault="00380600" w:rsidP="00380600">
      <w:pPr>
        <w:spacing w:line="276" w:lineRule="auto"/>
        <w:ind w:firstLine="708"/>
        <w:jc w:val="both"/>
      </w:pPr>
    </w:p>
    <w:p w:rsidR="00EB2567" w:rsidRPr="00D54A9C" w:rsidRDefault="00EB2567" w:rsidP="00380600">
      <w:pPr>
        <w:spacing w:line="276" w:lineRule="auto"/>
        <w:ind w:firstLine="708"/>
        <w:jc w:val="both"/>
      </w:pPr>
      <w:r w:rsidRPr="00D54A9C">
        <w:t>Наведена діаграма свідчить, що як і раніше, засуджені на час вчинення злочину, в переважній більшості, були працездатними особами, які не працювали і не навчалися.</w:t>
      </w:r>
    </w:p>
    <w:p w:rsidR="00EB2567" w:rsidRPr="00D54A9C" w:rsidRDefault="007C7C59" w:rsidP="00380600">
      <w:pPr>
        <w:spacing w:line="276" w:lineRule="auto"/>
        <w:ind w:firstLine="720"/>
        <w:jc w:val="both"/>
      </w:pPr>
      <w:r>
        <w:t xml:space="preserve">За </w:t>
      </w:r>
      <w:proofErr w:type="spellStart"/>
      <w:r>
        <w:t>вироком</w:t>
      </w:r>
      <w:proofErr w:type="spellEnd"/>
      <w:r>
        <w:t xml:space="preserve"> суду, що набрав</w:t>
      </w:r>
      <w:r w:rsidR="00EB2567" w:rsidRPr="00D54A9C">
        <w:t xml:space="preserve"> законної сили у звітному </w:t>
      </w:r>
      <w:r>
        <w:t>періоді, всього було засуджено 1 неповнолітню осо</w:t>
      </w:r>
      <w:r w:rsidR="00EB2567" w:rsidRPr="00D54A9C">
        <w:t>б</w:t>
      </w:r>
      <w:r>
        <w:t>у</w:t>
      </w:r>
      <w:r w:rsidR="00EB2567" w:rsidRPr="00D54A9C">
        <w:t>,</w:t>
      </w:r>
      <w:r w:rsidR="00824CB7">
        <w:t xml:space="preserve"> зокрема за злочини проти, </w:t>
      </w:r>
      <w:r w:rsidR="00EB2567" w:rsidRPr="00D54A9C">
        <w:t xml:space="preserve"> власності.</w:t>
      </w:r>
    </w:p>
    <w:p w:rsidR="00EB2567" w:rsidRPr="00D54A9C" w:rsidRDefault="00EB2567" w:rsidP="00EB2567">
      <w:pPr>
        <w:jc w:val="both"/>
      </w:pPr>
    </w:p>
    <w:p w:rsidR="00EB2567" w:rsidRPr="00ED04E8" w:rsidRDefault="00EB2567" w:rsidP="00EB2567">
      <w:pPr>
        <w:pStyle w:val="a5"/>
        <w:jc w:val="center"/>
        <w:rPr>
          <w:b/>
          <w:bCs/>
        </w:rPr>
      </w:pPr>
      <w:r w:rsidRPr="00ED04E8">
        <w:rPr>
          <w:b/>
          <w:bCs/>
        </w:rPr>
        <w:t>РОЗГЛЯД СПРАВ</w:t>
      </w:r>
    </w:p>
    <w:p w:rsidR="00EB2567" w:rsidRPr="00ED04E8" w:rsidRDefault="00EB2567" w:rsidP="00EB2567">
      <w:pPr>
        <w:pStyle w:val="a5"/>
        <w:jc w:val="center"/>
        <w:rPr>
          <w:b/>
          <w:bCs/>
        </w:rPr>
      </w:pPr>
      <w:r w:rsidRPr="00ED04E8">
        <w:rPr>
          <w:b/>
          <w:bCs/>
        </w:rPr>
        <w:t>ПРО АДМІНІСТРАТИВНІ ПРАВОПОРУШЕННЯ</w:t>
      </w:r>
    </w:p>
    <w:p w:rsidR="00EB2567" w:rsidRPr="00D54A9C" w:rsidRDefault="00EB2567" w:rsidP="00EB2567">
      <w:pPr>
        <w:jc w:val="both"/>
      </w:pPr>
    </w:p>
    <w:p w:rsidR="00EB2567" w:rsidRPr="00D54A9C" w:rsidRDefault="00EB2567" w:rsidP="00EB2567">
      <w:pPr>
        <w:spacing w:line="276" w:lineRule="auto"/>
        <w:jc w:val="both"/>
      </w:pPr>
      <w:r w:rsidRPr="00D54A9C">
        <w:tab/>
        <w:t>Впродовж звітного періоду</w:t>
      </w:r>
      <w:r w:rsidR="002E26E6">
        <w:t xml:space="preserve"> на розгляді суду перебувало 566 справ</w:t>
      </w:r>
      <w:r w:rsidRPr="00D54A9C">
        <w:t xml:space="preserve"> про адміністративні правопорушення. </w:t>
      </w:r>
    </w:p>
    <w:p w:rsidR="00EB2567" w:rsidRPr="00D54A9C" w:rsidRDefault="00EB2567" w:rsidP="00EB2567">
      <w:pPr>
        <w:spacing w:line="276" w:lineRule="auto"/>
        <w:ind w:firstLine="708"/>
        <w:jc w:val="both"/>
      </w:pPr>
      <w:r w:rsidRPr="00D54A9C">
        <w:t>Для належного оформлення органам, що склали протоко</w:t>
      </w:r>
      <w:r w:rsidR="002E26E6">
        <w:t>ли, повернуто 97 протоколів (2021 рік – 92), що становить 17,1</w:t>
      </w:r>
      <w:r w:rsidRPr="00D54A9C">
        <w:t xml:space="preserve">% від усіх справ, що перебували на розгляді. </w:t>
      </w:r>
    </w:p>
    <w:p w:rsidR="00EB2567" w:rsidRPr="00D54A9C" w:rsidRDefault="00EB2567" w:rsidP="00EB2567">
      <w:pPr>
        <w:spacing w:line="276" w:lineRule="auto"/>
        <w:ind w:firstLine="708"/>
        <w:jc w:val="both"/>
      </w:pPr>
      <w:r w:rsidRPr="00D54A9C">
        <w:t>У звітному періоді кількість осіб, щодо яких</w:t>
      </w:r>
      <w:r w:rsidR="002E26E6">
        <w:t xml:space="preserve"> розглянуто справи становить 452</w:t>
      </w:r>
      <w:r w:rsidRPr="00D54A9C">
        <w:t xml:space="preserve">. Залишок нерозглянутих справ на кінець звітного періоду складає – </w:t>
      </w:r>
      <w:r w:rsidR="002E26E6">
        <w:t>13 справ</w:t>
      </w:r>
      <w:r w:rsidRPr="00D54A9C">
        <w:t xml:space="preserve">. </w:t>
      </w:r>
    </w:p>
    <w:p w:rsidR="00EB2567" w:rsidRDefault="00EB2567" w:rsidP="00EB2567">
      <w:pPr>
        <w:spacing w:line="276" w:lineRule="auto"/>
        <w:ind w:firstLine="708"/>
        <w:jc w:val="both"/>
      </w:pPr>
      <w:r w:rsidRPr="00D54A9C">
        <w:t xml:space="preserve">Винесено постанов про накладення адміністративного стягнення стосовно </w:t>
      </w:r>
      <w:r w:rsidR="002E26E6">
        <w:t>355  осіб (78,53</w:t>
      </w:r>
      <w:r w:rsidRPr="00D54A9C">
        <w:t xml:space="preserve">% від числа розглянутих справ), з них: щодо жінок – </w:t>
      </w:r>
      <w:r w:rsidR="002E26E6">
        <w:t>53</w:t>
      </w:r>
      <w:r w:rsidRPr="00D54A9C">
        <w:t xml:space="preserve"> постанов</w:t>
      </w:r>
      <w:r w:rsidR="002E26E6">
        <w:t>и</w:t>
      </w:r>
      <w:r w:rsidRPr="00D54A9C">
        <w:t xml:space="preserve"> (11,68%). </w:t>
      </w:r>
    </w:p>
    <w:p w:rsidR="00EB2567" w:rsidRPr="00D54A9C" w:rsidRDefault="00EB2567" w:rsidP="00EB2567">
      <w:pPr>
        <w:spacing w:line="276" w:lineRule="auto"/>
        <w:ind w:firstLine="708"/>
        <w:jc w:val="both"/>
      </w:pPr>
    </w:p>
    <w:p w:rsidR="00EB2567" w:rsidRDefault="00EB2567" w:rsidP="00EB2567">
      <w:pPr>
        <w:ind w:firstLine="708"/>
        <w:jc w:val="both"/>
      </w:pPr>
      <w:r w:rsidRPr="00D54A9C">
        <w:lastRenderedPageBreak/>
        <w:t>Рід зайняття осіб притягнутих до адміністративної відповідальності наведений у діаграмі:</w:t>
      </w:r>
    </w:p>
    <w:p w:rsidR="00C47601" w:rsidRDefault="00C47601" w:rsidP="00EB2567">
      <w:pPr>
        <w:ind w:firstLine="708"/>
        <w:jc w:val="both"/>
      </w:pPr>
    </w:p>
    <w:p w:rsidR="00C47601" w:rsidRDefault="002E78CE" w:rsidP="00EB2567">
      <w:pPr>
        <w:ind w:firstLine="708"/>
        <w:jc w:val="both"/>
      </w:pPr>
      <w:r>
        <w:rPr>
          <w:noProof/>
          <w:lang w:eastAsia="uk-UA"/>
        </w:rPr>
        <w:drawing>
          <wp:inline distT="0" distB="0" distL="0" distR="0" wp14:anchorId="7FC58178" wp14:editId="5704E14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7601" w:rsidRPr="00D54A9C" w:rsidRDefault="00C47601" w:rsidP="00EB2567">
      <w:pPr>
        <w:ind w:firstLine="708"/>
        <w:jc w:val="both"/>
      </w:pPr>
    </w:p>
    <w:p w:rsidR="007D765C" w:rsidRDefault="007D765C" w:rsidP="00EB2567">
      <w:pPr>
        <w:ind w:firstLine="708"/>
        <w:jc w:val="both"/>
      </w:pPr>
    </w:p>
    <w:p w:rsidR="007D765C" w:rsidRDefault="00EB2567" w:rsidP="00EB2567">
      <w:pPr>
        <w:ind w:firstLine="708"/>
        <w:jc w:val="both"/>
      </w:pPr>
      <w:r w:rsidRPr="004977E4">
        <w:t xml:space="preserve">За своєю структурою види основних стягнень розподіляються таким чином: </w:t>
      </w:r>
    </w:p>
    <w:p w:rsidR="00EB2567" w:rsidRDefault="00EB2567" w:rsidP="00EB2567">
      <w:pPr>
        <w:ind w:firstLine="708"/>
        <w:jc w:val="both"/>
      </w:pPr>
      <w:r w:rsidRPr="004977E4">
        <w:t xml:space="preserve"> </w:t>
      </w:r>
    </w:p>
    <w:p w:rsidR="00EB2567" w:rsidRPr="004977E4" w:rsidRDefault="007D765C" w:rsidP="00EB2567">
      <w:pPr>
        <w:ind w:firstLine="708"/>
        <w:jc w:val="both"/>
      </w:pPr>
      <w:r>
        <w:rPr>
          <w:noProof/>
          <w:lang w:eastAsia="uk-UA"/>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2567" w:rsidRDefault="00EB2567" w:rsidP="00EB2567">
      <w:pPr>
        <w:tabs>
          <w:tab w:val="left" w:pos="1000"/>
        </w:tabs>
        <w:jc w:val="both"/>
        <w:rPr>
          <w:rFonts w:cs="Calibri"/>
          <w:szCs w:val="28"/>
          <w:lang w:eastAsia="ar-SA"/>
        </w:rPr>
      </w:pPr>
    </w:p>
    <w:p w:rsidR="00EB2567" w:rsidRDefault="00EB2567" w:rsidP="00EB2567">
      <w:pPr>
        <w:tabs>
          <w:tab w:val="left" w:pos="1000"/>
        </w:tabs>
        <w:jc w:val="both"/>
        <w:rPr>
          <w:rFonts w:cs="Calibri"/>
          <w:szCs w:val="28"/>
          <w:lang w:eastAsia="ar-SA"/>
        </w:rPr>
      </w:pPr>
    </w:p>
    <w:p w:rsidR="00EB2567" w:rsidRPr="004977E4" w:rsidRDefault="00EB2567" w:rsidP="00824CB7">
      <w:pPr>
        <w:tabs>
          <w:tab w:val="left" w:pos="1000"/>
        </w:tabs>
        <w:spacing w:line="276" w:lineRule="auto"/>
        <w:jc w:val="both"/>
      </w:pPr>
      <w:r>
        <w:rPr>
          <w:rFonts w:cs="Calibri"/>
          <w:szCs w:val="28"/>
          <w:lang w:eastAsia="ar-SA"/>
        </w:rPr>
        <w:tab/>
      </w:r>
      <w:r w:rsidRPr="004977E4">
        <w:t xml:space="preserve">Згідно з ч. 6 ст. 41 Конституції України конфіскація майна може бути застосована виключно за рішенням суду у випадках, обсязі та порядку, встановлених законом. Відповідно до цієї норми, справи про адміністративні </w:t>
      </w:r>
      <w:r w:rsidRPr="004977E4">
        <w:lastRenderedPageBreak/>
        <w:t>правопорушення, за вчинення яких законом передбачено конфіскацію предмета, що став знаряддям вчинення або безпосереднім об’єктом адміністративного правопорушення, розглядаються лише судами. Усього впродовж звітного періоду стягнення (додаткове) у вигляді конфіскації предмета, грошей, що став знаряддям вчинення або безпосереднім об'єктом адміністративного правопорушення, застосовано до</w:t>
      </w:r>
      <w:r w:rsidR="003E3DB7">
        <w:t>3</w:t>
      </w:r>
      <w:r w:rsidR="00824CB7">
        <w:t xml:space="preserve"> </w:t>
      </w:r>
      <w:r w:rsidRPr="004977E4">
        <w:t>правопорушників.</w:t>
      </w:r>
    </w:p>
    <w:p w:rsidR="00EB2567" w:rsidRDefault="00EB2567" w:rsidP="00824CB7">
      <w:pPr>
        <w:tabs>
          <w:tab w:val="left" w:pos="1000"/>
        </w:tabs>
        <w:spacing w:line="276" w:lineRule="auto"/>
        <w:ind w:firstLine="709"/>
        <w:jc w:val="both"/>
      </w:pPr>
      <w:r w:rsidRPr="004977E4">
        <w:t xml:space="preserve">Сума накладеного </w:t>
      </w:r>
      <w:r w:rsidR="00824CB7">
        <w:t xml:space="preserve">судом </w:t>
      </w:r>
      <w:r w:rsidRPr="004977E4">
        <w:t xml:space="preserve"> штрафу становить </w:t>
      </w:r>
      <w:r>
        <w:t xml:space="preserve">1 </w:t>
      </w:r>
      <w:r w:rsidRPr="004977E4">
        <w:t xml:space="preserve">млн. </w:t>
      </w:r>
      <w:r w:rsidR="003E3DB7">
        <w:t xml:space="preserve">724 </w:t>
      </w:r>
      <w:r w:rsidRPr="004977E4">
        <w:t xml:space="preserve">тис. </w:t>
      </w:r>
      <w:r w:rsidR="003E3DB7">
        <w:t>174</w:t>
      </w:r>
      <w:r w:rsidRPr="004977E4">
        <w:t xml:space="preserve"> грн., у тому числі добровільно сплачено</w:t>
      </w:r>
      <w:r>
        <w:t xml:space="preserve"> </w:t>
      </w:r>
      <w:r w:rsidR="003E3DB7">
        <w:t>446</w:t>
      </w:r>
      <w:r w:rsidRPr="004977E4">
        <w:t xml:space="preserve"> тис. </w:t>
      </w:r>
      <w:r w:rsidR="003E3DB7">
        <w:t>267</w:t>
      </w:r>
      <w:r w:rsidR="003940F8">
        <w:t xml:space="preserve"> грн.</w:t>
      </w:r>
    </w:p>
    <w:p w:rsidR="003940F8" w:rsidRDefault="003940F8" w:rsidP="00824CB7">
      <w:pPr>
        <w:tabs>
          <w:tab w:val="left" w:pos="1000"/>
        </w:tabs>
        <w:spacing w:line="276" w:lineRule="auto"/>
        <w:ind w:firstLine="709"/>
        <w:jc w:val="both"/>
      </w:pPr>
    </w:p>
    <w:p w:rsidR="003940F8" w:rsidRDefault="003940F8" w:rsidP="003940F8">
      <w:pPr>
        <w:pStyle w:val="a5"/>
        <w:tabs>
          <w:tab w:val="left" w:pos="1000"/>
        </w:tabs>
        <w:jc w:val="center"/>
        <w:rPr>
          <w:b/>
          <w:sz w:val="32"/>
          <w:szCs w:val="32"/>
        </w:rPr>
      </w:pPr>
      <w:r>
        <w:rPr>
          <w:b/>
          <w:sz w:val="32"/>
          <w:szCs w:val="32"/>
        </w:rPr>
        <w:t>ПОКАЗНИКИ СПЛАТИ СУДОВОГО ЗБОРУ</w:t>
      </w:r>
    </w:p>
    <w:p w:rsidR="003940F8" w:rsidRDefault="003940F8" w:rsidP="003940F8">
      <w:pPr>
        <w:pStyle w:val="a5"/>
        <w:tabs>
          <w:tab w:val="left" w:pos="1000"/>
        </w:tabs>
      </w:pPr>
    </w:p>
    <w:p w:rsidR="003940F8" w:rsidRDefault="003940F8" w:rsidP="009B6C37">
      <w:pPr>
        <w:pStyle w:val="a5"/>
        <w:spacing w:line="276" w:lineRule="auto"/>
        <w:ind w:firstLine="709"/>
      </w:pPr>
      <w:r>
        <w:t xml:space="preserve">Впродовж звітного періоду на розгляді суду перебувало </w:t>
      </w:r>
      <w:r w:rsidR="00440CA3">
        <w:t>609</w:t>
      </w:r>
      <w:r>
        <w:t xml:space="preserve"> заяв (скарг), судових рішень, у яких справляється судовий збір</w:t>
      </w:r>
      <w:r>
        <w:rPr>
          <w:szCs w:val="28"/>
        </w:rPr>
        <w:t>, що на 2</w:t>
      </w:r>
      <w:r w:rsidR="00440CA3">
        <w:rPr>
          <w:szCs w:val="28"/>
        </w:rPr>
        <w:t>39</w:t>
      </w:r>
      <w:r>
        <w:rPr>
          <w:szCs w:val="28"/>
        </w:rPr>
        <w:t xml:space="preserve"> заяв </w:t>
      </w:r>
      <w:r w:rsidR="00440CA3">
        <w:rPr>
          <w:szCs w:val="28"/>
        </w:rPr>
        <w:t>менше ніж в 2021</w:t>
      </w:r>
      <w:r>
        <w:rPr>
          <w:szCs w:val="28"/>
        </w:rPr>
        <w:t xml:space="preserve"> році</w:t>
      </w:r>
      <w:r>
        <w:t>.</w:t>
      </w:r>
    </w:p>
    <w:p w:rsidR="003940F8" w:rsidRDefault="003940F8" w:rsidP="009B6C37">
      <w:pPr>
        <w:pStyle w:val="a5"/>
        <w:spacing w:line="276" w:lineRule="auto"/>
        <w:ind w:firstLine="709"/>
        <w:rPr>
          <w:szCs w:val="28"/>
        </w:rPr>
      </w:pPr>
      <w:r>
        <w:t xml:space="preserve">Розрахункова сума судового збору за звітний період становить </w:t>
      </w:r>
      <w:r w:rsidR="00440CA3">
        <w:t>522</w:t>
      </w:r>
      <w:r>
        <w:t xml:space="preserve"> тис. </w:t>
      </w:r>
      <w:r w:rsidR="00440CA3">
        <w:t>578</w:t>
      </w:r>
      <w:r>
        <w:t xml:space="preserve"> грн. – це на 1</w:t>
      </w:r>
      <w:r w:rsidR="00440CA3">
        <w:t>32</w:t>
      </w:r>
      <w:r>
        <w:t xml:space="preserve"> 8</w:t>
      </w:r>
      <w:r w:rsidR="00440CA3">
        <w:t>80</w:t>
      </w:r>
      <w:r w:rsidR="009B6C37">
        <w:rPr>
          <w:szCs w:val="28"/>
        </w:rPr>
        <w:t xml:space="preserve"> грн. (</w:t>
      </w:r>
      <w:r w:rsidR="00440CA3">
        <w:rPr>
          <w:szCs w:val="28"/>
        </w:rPr>
        <w:t>25,43%) менше</w:t>
      </w:r>
      <w:r>
        <w:rPr>
          <w:szCs w:val="28"/>
        </w:rPr>
        <w:t xml:space="preserve"> ніж в 202</w:t>
      </w:r>
      <w:r w:rsidR="00440CA3">
        <w:rPr>
          <w:szCs w:val="28"/>
        </w:rPr>
        <w:t>1</w:t>
      </w:r>
      <w:r>
        <w:rPr>
          <w:szCs w:val="28"/>
        </w:rPr>
        <w:t xml:space="preserve"> році.</w:t>
      </w:r>
    </w:p>
    <w:p w:rsidR="003940F8" w:rsidRDefault="003940F8" w:rsidP="009B6C37">
      <w:pPr>
        <w:pStyle w:val="a5"/>
        <w:spacing w:line="276" w:lineRule="auto"/>
        <w:ind w:firstLine="709"/>
      </w:pPr>
      <w:r>
        <w:t>Сума фактично сплаченого с</w:t>
      </w:r>
      <w:r w:rsidR="00440CA3">
        <w:t>удового збору становить 413 тис. 615</w:t>
      </w:r>
      <w:r w:rsidR="009B6C37">
        <w:t xml:space="preserve"> грн., що </w:t>
      </w:r>
      <w:r w:rsidR="00440CA3">
        <w:t>82</w:t>
      </w:r>
      <w:r>
        <w:t xml:space="preserve"> тис.</w:t>
      </w:r>
      <w:r w:rsidR="00440CA3">
        <w:t xml:space="preserve">999 </w:t>
      </w:r>
      <w:r w:rsidR="009B6C37">
        <w:t xml:space="preserve">грн. </w:t>
      </w:r>
      <w:r w:rsidR="00440CA3">
        <w:t>менше ніж у 2021</w:t>
      </w:r>
      <w:r>
        <w:t xml:space="preserve"> році, присуджено до стягнення судового збору за рішеннями судів в Де</w:t>
      </w:r>
      <w:r w:rsidR="009B6C37">
        <w:t xml:space="preserve">ржавний бюджет України –   </w:t>
      </w:r>
      <w:r w:rsidR="00440CA3">
        <w:t>68</w:t>
      </w:r>
      <w:r w:rsidR="009B6C37">
        <w:t xml:space="preserve"> тис.</w:t>
      </w:r>
      <w:r w:rsidR="00440CA3">
        <w:t xml:space="preserve"> 862</w:t>
      </w:r>
      <w:r>
        <w:t xml:space="preserve"> грн., що на </w:t>
      </w:r>
      <w:r w:rsidR="00440CA3">
        <w:t>124</w:t>
      </w:r>
      <w:r w:rsidR="009B6C37">
        <w:t xml:space="preserve"> тис. </w:t>
      </w:r>
      <w:r w:rsidR="00440CA3">
        <w:t>147</w:t>
      </w:r>
      <w:r w:rsidR="009B6C37">
        <w:t xml:space="preserve"> грн. </w:t>
      </w:r>
      <w:r w:rsidR="00440CA3">
        <w:t>менше</w:t>
      </w:r>
      <w:r>
        <w:t xml:space="preserve"> ні</w:t>
      </w:r>
      <w:r w:rsidR="00440CA3">
        <w:t>ж в 2021</w:t>
      </w:r>
      <w:r>
        <w:t xml:space="preserve"> році.</w:t>
      </w:r>
    </w:p>
    <w:p w:rsidR="003940F8" w:rsidRPr="002A5DAA" w:rsidRDefault="003940F8" w:rsidP="002A5DAA">
      <w:pPr>
        <w:pStyle w:val="a5"/>
        <w:spacing w:line="276" w:lineRule="auto"/>
        <w:ind w:firstLine="709"/>
      </w:pPr>
      <w:r>
        <w:t>Сума фактично сплаченого судового збору при зверненні до суду (за категоріями справ) наведена в діаграмі:</w:t>
      </w:r>
    </w:p>
    <w:p w:rsidR="003940F8" w:rsidRDefault="003940F8" w:rsidP="003940F8">
      <w:pPr>
        <w:pStyle w:val="a5"/>
        <w:ind w:firstLine="709"/>
        <w:jc w:val="center"/>
        <w:rPr>
          <w:b/>
        </w:rPr>
      </w:pPr>
      <w:r>
        <w:rPr>
          <w:b/>
        </w:rPr>
        <w:t>Сума фактично сплаченого судового збору при зверненні до суду</w:t>
      </w:r>
    </w:p>
    <w:p w:rsidR="002A5DAA" w:rsidRDefault="002A5DAA" w:rsidP="003940F8">
      <w:pPr>
        <w:pStyle w:val="a5"/>
      </w:pPr>
      <w:r>
        <w:rPr>
          <w:noProof/>
          <w:lang w:eastAsia="uk-UA"/>
        </w:rPr>
        <w:drawing>
          <wp:inline distT="0" distB="0" distL="0" distR="0" wp14:anchorId="1BC5FE67" wp14:editId="15BD67B3">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40F8" w:rsidRDefault="003940F8" w:rsidP="003940F8">
      <w:pPr>
        <w:pStyle w:val="a5"/>
      </w:pPr>
    </w:p>
    <w:p w:rsidR="003940F8" w:rsidRDefault="003940F8" w:rsidP="00547A5C">
      <w:pPr>
        <w:pStyle w:val="a5"/>
        <w:ind w:firstLine="709"/>
      </w:pPr>
      <w:r>
        <w:lastRenderedPageBreak/>
        <w:t xml:space="preserve">Згідно </w:t>
      </w:r>
      <w:proofErr w:type="spellStart"/>
      <w:r>
        <w:t>ст.ст</w:t>
      </w:r>
      <w:proofErr w:type="spellEnd"/>
      <w:r>
        <w:t xml:space="preserve">. 5 та 8 Закону України «Про судовий збір» суд може зменшити розмір судового збору або звільнити від його сплати. У </w:t>
      </w:r>
      <w:r w:rsidR="003D28ED">
        <w:rPr>
          <w:szCs w:val="28"/>
        </w:rPr>
        <w:t>2022</w:t>
      </w:r>
      <w:r>
        <w:rPr>
          <w:szCs w:val="28"/>
        </w:rPr>
        <w:t xml:space="preserve"> році позивачами було подано</w:t>
      </w:r>
      <w:r w:rsidR="002A5DAA">
        <w:rPr>
          <w:szCs w:val="28"/>
        </w:rPr>
        <w:t xml:space="preserve"> </w:t>
      </w:r>
      <w:r w:rsidR="003D28ED">
        <w:rPr>
          <w:szCs w:val="28"/>
        </w:rPr>
        <w:t>90</w:t>
      </w:r>
      <w:r>
        <w:rPr>
          <w:szCs w:val="28"/>
        </w:rPr>
        <w:t xml:space="preserve"> заяв (скарг), при подачі яких застосовуються пільги щодо сплати судового збору, що на </w:t>
      </w:r>
      <w:r w:rsidR="003D28ED">
        <w:rPr>
          <w:szCs w:val="28"/>
        </w:rPr>
        <w:t>7</w:t>
      </w:r>
      <w:r>
        <w:rPr>
          <w:szCs w:val="28"/>
        </w:rPr>
        <w:t xml:space="preserve"> заяв</w:t>
      </w:r>
      <w:r w:rsidR="002A5DAA">
        <w:rPr>
          <w:szCs w:val="28"/>
        </w:rPr>
        <w:t xml:space="preserve"> більше н</w:t>
      </w:r>
      <w:r w:rsidR="003D28ED">
        <w:rPr>
          <w:szCs w:val="28"/>
        </w:rPr>
        <w:t>іж у 2021</w:t>
      </w:r>
      <w:r>
        <w:rPr>
          <w:szCs w:val="28"/>
        </w:rPr>
        <w:t xml:space="preserve"> році. Розрахункова сума </w:t>
      </w:r>
      <w:r w:rsidR="002A5DAA">
        <w:rPr>
          <w:szCs w:val="28"/>
        </w:rPr>
        <w:t xml:space="preserve">по даним заявам становить  </w:t>
      </w:r>
      <w:r w:rsidR="003D28ED">
        <w:rPr>
          <w:szCs w:val="28"/>
        </w:rPr>
        <w:t>93 тис. 39</w:t>
      </w:r>
      <w:r w:rsidR="002A5DAA">
        <w:rPr>
          <w:szCs w:val="28"/>
        </w:rPr>
        <w:t>2</w:t>
      </w:r>
      <w:r>
        <w:rPr>
          <w:szCs w:val="28"/>
        </w:rPr>
        <w:t xml:space="preserve"> грн. Найбільшу кількість позовних заяв, де застосовано вказану норму закону було подано у справах «про 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w:t>
      </w:r>
      <w:r w:rsidR="003D28ED">
        <w:rPr>
          <w:szCs w:val="28"/>
        </w:rPr>
        <w:t xml:space="preserve"> - 70</w:t>
      </w:r>
      <w:r w:rsidR="00547A5C">
        <w:rPr>
          <w:szCs w:val="28"/>
        </w:rPr>
        <w:t xml:space="preserve"> особами.</w:t>
      </w:r>
    </w:p>
    <w:p w:rsidR="00EB2567" w:rsidRDefault="00EB2567" w:rsidP="00547A5C">
      <w:pPr>
        <w:tabs>
          <w:tab w:val="left" w:pos="1000"/>
        </w:tabs>
        <w:rPr>
          <w:b/>
          <w:sz w:val="32"/>
          <w:szCs w:val="32"/>
        </w:rPr>
      </w:pPr>
    </w:p>
    <w:p w:rsidR="00FC5750" w:rsidRPr="001B51B4" w:rsidRDefault="00F469C1" w:rsidP="00FC5750">
      <w:pPr>
        <w:tabs>
          <w:tab w:val="left" w:pos="1000"/>
        </w:tabs>
        <w:jc w:val="center"/>
        <w:rPr>
          <w:b/>
          <w:sz w:val="32"/>
          <w:szCs w:val="32"/>
        </w:rPr>
      </w:pPr>
      <w:r w:rsidRPr="00A611D4">
        <w:rPr>
          <w:b/>
          <w:sz w:val="32"/>
          <w:szCs w:val="32"/>
        </w:rPr>
        <w:t>В</w:t>
      </w:r>
      <w:r w:rsidR="00FC5750" w:rsidRPr="00A611D4">
        <w:rPr>
          <w:b/>
          <w:sz w:val="32"/>
          <w:szCs w:val="32"/>
        </w:rPr>
        <w:t>ИСНОВКИ</w:t>
      </w:r>
    </w:p>
    <w:p w:rsidR="00B35C14" w:rsidRPr="001B51B4" w:rsidRDefault="00B35C14" w:rsidP="00FC5750">
      <w:pPr>
        <w:tabs>
          <w:tab w:val="left" w:pos="1000"/>
        </w:tabs>
        <w:jc w:val="center"/>
        <w:rPr>
          <w:b/>
          <w:sz w:val="32"/>
          <w:szCs w:val="32"/>
        </w:rPr>
      </w:pPr>
    </w:p>
    <w:p w:rsidR="00587D30" w:rsidRDefault="00544F89" w:rsidP="00544F89">
      <w:pPr>
        <w:spacing w:line="276" w:lineRule="auto"/>
        <w:ind w:firstLine="708"/>
        <w:jc w:val="both"/>
        <w:rPr>
          <w:rFonts w:cs="Calibri"/>
          <w:bCs/>
          <w:szCs w:val="28"/>
          <w:lang w:eastAsia="ar-SA"/>
        </w:rPr>
      </w:pPr>
      <w:r>
        <w:rPr>
          <w:szCs w:val="28"/>
        </w:rPr>
        <w:t>Проведений аналіз даних щодо здійснення судочинства Тростянецьким районним судом Вінницької області свідчить про те, що впродовж звітного періоду відзначилося зменшення надходження справ та матеріалів кримінального судочинства (</w:t>
      </w:r>
      <w:r w:rsidR="00A35547">
        <w:rPr>
          <w:szCs w:val="28"/>
        </w:rPr>
        <w:t>17,8</w:t>
      </w:r>
      <w:r>
        <w:rPr>
          <w:szCs w:val="28"/>
        </w:rPr>
        <w:t>%) та справ</w:t>
      </w:r>
      <w:r w:rsidR="00587D30">
        <w:rPr>
          <w:szCs w:val="28"/>
        </w:rPr>
        <w:t xml:space="preserve"> і </w:t>
      </w:r>
      <w:r>
        <w:rPr>
          <w:szCs w:val="28"/>
        </w:rPr>
        <w:t>матеріалів адміністративного судочинства</w:t>
      </w:r>
      <w:r>
        <w:rPr>
          <w:rFonts w:cs="Calibri"/>
          <w:bCs/>
          <w:szCs w:val="28"/>
          <w:lang w:eastAsia="ar-SA"/>
        </w:rPr>
        <w:t xml:space="preserve"> (</w:t>
      </w:r>
      <w:r w:rsidR="00A35547">
        <w:rPr>
          <w:rFonts w:cs="Calibri"/>
          <w:bCs/>
          <w:szCs w:val="28"/>
          <w:lang w:eastAsia="ar-SA"/>
        </w:rPr>
        <w:t>45</w:t>
      </w:r>
      <w:r w:rsidR="00587D30">
        <w:rPr>
          <w:rFonts w:cs="Calibri"/>
          <w:bCs/>
          <w:szCs w:val="28"/>
          <w:lang w:eastAsia="ar-SA"/>
        </w:rPr>
        <w:t>%).</w:t>
      </w:r>
    </w:p>
    <w:p w:rsidR="00587D30" w:rsidRDefault="00544F89" w:rsidP="00544F89">
      <w:pPr>
        <w:spacing w:line="276" w:lineRule="auto"/>
        <w:ind w:firstLine="708"/>
        <w:jc w:val="both"/>
        <w:rPr>
          <w:rFonts w:cs="Calibri"/>
          <w:bCs/>
          <w:szCs w:val="28"/>
          <w:lang w:eastAsia="ar-SA"/>
        </w:rPr>
      </w:pPr>
      <w:r>
        <w:rPr>
          <w:rFonts w:cs="Calibri"/>
          <w:bCs/>
          <w:szCs w:val="28"/>
          <w:lang w:eastAsia="ar-SA"/>
        </w:rPr>
        <w:t xml:space="preserve">Збільшилося </w:t>
      </w:r>
      <w:r w:rsidR="00587D30">
        <w:rPr>
          <w:rFonts w:cs="Calibri"/>
          <w:bCs/>
          <w:szCs w:val="28"/>
          <w:lang w:eastAsia="ar-SA"/>
        </w:rPr>
        <w:t xml:space="preserve">незначне </w:t>
      </w:r>
      <w:r>
        <w:rPr>
          <w:rFonts w:cs="Calibri"/>
          <w:bCs/>
          <w:szCs w:val="28"/>
          <w:lang w:eastAsia="ar-SA"/>
        </w:rPr>
        <w:t>надходження справ</w:t>
      </w:r>
      <w:r w:rsidR="00587D30">
        <w:rPr>
          <w:rFonts w:cs="Calibri"/>
          <w:bCs/>
          <w:szCs w:val="28"/>
          <w:lang w:eastAsia="ar-SA"/>
        </w:rPr>
        <w:t xml:space="preserve"> та матеріалів</w:t>
      </w:r>
      <w:r>
        <w:rPr>
          <w:rFonts w:cs="Calibri"/>
          <w:bCs/>
          <w:szCs w:val="28"/>
          <w:lang w:eastAsia="ar-SA"/>
        </w:rPr>
        <w:t xml:space="preserve"> </w:t>
      </w:r>
      <w:r w:rsidR="00587D30">
        <w:rPr>
          <w:rFonts w:cs="Calibri"/>
          <w:bCs/>
          <w:szCs w:val="28"/>
          <w:lang w:eastAsia="ar-SA"/>
        </w:rPr>
        <w:t>цивільного</w:t>
      </w:r>
      <w:r>
        <w:rPr>
          <w:rFonts w:cs="Calibri"/>
          <w:bCs/>
          <w:szCs w:val="28"/>
          <w:lang w:eastAsia="ar-SA"/>
        </w:rPr>
        <w:t xml:space="preserve"> судочинства</w:t>
      </w:r>
      <w:r>
        <w:rPr>
          <w:rFonts w:cs="Calibri"/>
          <w:bCs/>
          <w:szCs w:val="28"/>
          <w:lang w:val="ru-RU" w:eastAsia="ar-SA"/>
        </w:rPr>
        <w:t xml:space="preserve"> (</w:t>
      </w:r>
      <w:r w:rsidR="00587D30">
        <w:rPr>
          <w:rFonts w:cs="Calibri"/>
          <w:bCs/>
          <w:szCs w:val="28"/>
          <w:lang w:val="ru-RU" w:eastAsia="ar-SA"/>
        </w:rPr>
        <w:t>4</w:t>
      </w:r>
      <w:r>
        <w:rPr>
          <w:rFonts w:cs="Calibri"/>
          <w:bCs/>
          <w:szCs w:val="28"/>
          <w:lang w:eastAsia="ar-SA"/>
        </w:rPr>
        <w:t>,</w:t>
      </w:r>
      <w:r>
        <w:rPr>
          <w:rFonts w:cs="Calibri"/>
          <w:bCs/>
          <w:szCs w:val="28"/>
          <w:lang w:val="ru-RU" w:eastAsia="ar-SA"/>
        </w:rPr>
        <w:t>47%)</w:t>
      </w:r>
      <w:r>
        <w:rPr>
          <w:rFonts w:cs="Calibri"/>
          <w:bCs/>
          <w:szCs w:val="28"/>
          <w:lang w:eastAsia="ar-SA"/>
        </w:rPr>
        <w:t xml:space="preserve"> та справ про адміністративні правопорушення (</w:t>
      </w:r>
      <w:r w:rsidR="00587D30">
        <w:rPr>
          <w:rFonts w:cs="Calibri"/>
          <w:bCs/>
          <w:szCs w:val="28"/>
          <w:lang w:eastAsia="ar-SA"/>
        </w:rPr>
        <w:t>3</w:t>
      </w:r>
      <w:r>
        <w:rPr>
          <w:rFonts w:cs="Calibri"/>
          <w:bCs/>
          <w:szCs w:val="28"/>
          <w:lang w:eastAsia="ar-SA"/>
        </w:rPr>
        <w:t>,</w:t>
      </w:r>
      <w:r w:rsidR="00587D30">
        <w:rPr>
          <w:rFonts w:cs="Calibri"/>
          <w:bCs/>
          <w:szCs w:val="28"/>
          <w:lang w:eastAsia="ar-SA"/>
        </w:rPr>
        <w:t>1</w:t>
      </w:r>
      <w:r>
        <w:rPr>
          <w:rFonts w:cs="Calibri"/>
          <w:bCs/>
          <w:szCs w:val="28"/>
          <w:lang w:eastAsia="ar-SA"/>
        </w:rPr>
        <w:t xml:space="preserve">1%). </w:t>
      </w:r>
    </w:p>
    <w:p w:rsidR="00544F89" w:rsidRDefault="00544F89" w:rsidP="00544F89">
      <w:pPr>
        <w:spacing w:line="276" w:lineRule="auto"/>
        <w:ind w:firstLine="708"/>
        <w:jc w:val="both"/>
        <w:rPr>
          <w:szCs w:val="28"/>
        </w:rPr>
      </w:pPr>
      <w:r>
        <w:rPr>
          <w:szCs w:val="28"/>
        </w:rPr>
        <w:t>Тростянецький районний суд Вінницької області забезпечив правильне і своєчасне вирішення переважної більшості судових справ, забезпечивши належне здійснення судочинства у кримінальних, цивільних, адміністративних справах та справах про адміністративні правопорушення.</w:t>
      </w:r>
    </w:p>
    <w:p w:rsidR="00544F89" w:rsidRDefault="00544F89" w:rsidP="00544F89">
      <w:pPr>
        <w:rPr>
          <w:b/>
          <w:bCs/>
        </w:rPr>
      </w:pPr>
    </w:p>
    <w:p w:rsidR="004C4388" w:rsidRDefault="004C4388" w:rsidP="004C4388">
      <w:pPr>
        <w:rPr>
          <w:b/>
          <w:bCs/>
        </w:rPr>
      </w:pPr>
    </w:p>
    <w:p w:rsidR="00E1334F" w:rsidRPr="00660138" w:rsidRDefault="00E1334F" w:rsidP="00660138">
      <w:pPr>
        <w:tabs>
          <w:tab w:val="left" w:pos="7380"/>
        </w:tabs>
        <w:spacing w:line="276" w:lineRule="auto"/>
        <w:ind w:firstLine="708"/>
        <w:jc w:val="both"/>
        <w:rPr>
          <w:rFonts w:cs="Calibri"/>
          <w:bCs/>
          <w:szCs w:val="28"/>
          <w:lang w:eastAsia="ar-SA"/>
        </w:rPr>
      </w:pPr>
      <w:r w:rsidRPr="00660138">
        <w:rPr>
          <w:rFonts w:cs="Calibri"/>
          <w:bCs/>
          <w:szCs w:val="28"/>
          <w:lang w:eastAsia="ar-SA"/>
        </w:rPr>
        <w:tab/>
      </w:r>
    </w:p>
    <w:p w:rsidR="00660138" w:rsidRDefault="00660138" w:rsidP="005839C3">
      <w:pPr>
        <w:rPr>
          <w:b/>
        </w:rPr>
      </w:pPr>
      <w:r w:rsidRPr="00660138">
        <w:rPr>
          <w:b/>
        </w:rPr>
        <w:t xml:space="preserve">Керівник апарату суду                                     </w:t>
      </w:r>
      <w:r>
        <w:rPr>
          <w:b/>
        </w:rPr>
        <w:t xml:space="preserve">                 </w:t>
      </w:r>
      <w:r w:rsidRPr="00660138">
        <w:rPr>
          <w:b/>
        </w:rPr>
        <w:t xml:space="preserve">             </w:t>
      </w:r>
      <w:r w:rsidR="00E018B8">
        <w:rPr>
          <w:b/>
        </w:rPr>
        <w:t xml:space="preserve">  </w:t>
      </w:r>
      <w:bookmarkStart w:id="0" w:name="_GoBack"/>
      <w:bookmarkEnd w:id="0"/>
      <w:r w:rsidRPr="00660138">
        <w:rPr>
          <w:b/>
        </w:rPr>
        <w:t xml:space="preserve">  Таїсія КУЦАК</w:t>
      </w:r>
    </w:p>
    <w:p w:rsidR="00660138" w:rsidRPr="00660138" w:rsidRDefault="00660138" w:rsidP="00660138"/>
    <w:p w:rsidR="00660138" w:rsidRPr="00660138" w:rsidRDefault="00660138" w:rsidP="00660138"/>
    <w:p w:rsidR="00660138" w:rsidRPr="00660138" w:rsidRDefault="00660138" w:rsidP="00660138"/>
    <w:p w:rsidR="00660138" w:rsidRPr="00660138" w:rsidRDefault="00660138" w:rsidP="00660138"/>
    <w:p w:rsidR="00660138" w:rsidRPr="00660138" w:rsidRDefault="00660138" w:rsidP="00660138"/>
    <w:p w:rsidR="00660138" w:rsidRPr="00660138" w:rsidRDefault="00660138" w:rsidP="00660138"/>
    <w:p w:rsidR="00660138" w:rsidRDefault="00660138" w:rsidP="00660138"/>
    <w:p w:rsidR="005839C3" w:rsidRPr="00660138" w:rsidRDefault="005839C3" w:rsidP="004624A1"/>
    <w:sectPr w:rsidR="005839C3" w:rsidRPr="00660138" w:rsidSect="009B232A">
      <w:headerReference w:type="default" r:id="rId24"/>
      <w:footerReference w:type="even" r:id="rId25"/>
      <w:footerReference w:type="default" r:id="rId26"/>
      <w:pgSz w:w="11906" w:h="16838"/>
      <w:pgMar w:top="719" w:right="566" w:bottom="5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02" w:rsidRDefault="00FC6B02">
      <w:r>
        <w:separator/>
      </w:r>
    </w:p>
  </w:endnote>
  <w:endnote w:type="continuationSeparator" w:id="0">
    <w:p w:rsidR="00FC6B02" w:rsidRDefault="00FC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05" w:rsidRDefault="009F7C05" w:rsidP="005839C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7C05" w:rsidRDefault="009F7C05" w:rsidP="005839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05" w:rsidRDefault="009F7C05" w:rsidP="005839C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10F8">
      <w:rPr>
        <w:rStyle w:val="a8"/>
        <w:noProof/>
      </w:rPr>
      <w:t>2</w:t>
    </w:r>
    <w:r>
      <w:rPr>
        <w:rStyle w:val="a8"/>
      </w:rPr>
      <w:fldChar w:fldCharType="end"/>
    </w:r>
  </w:p>
  <w:p w:rsidR="009F7C05" w:rsidRDefault="009F7C05" w:rsidP="005839C3">
    <w:pPr>
      <w:pStyle w:val="a4"/>
      <w:ind w:right="360"/>
    </w:pPr>
  </w:p>
  <w:p w:rsidR="009F7C05" w:rsidRDefault="009F7C05" w:rsidP="005839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02" w:rsidRDefault="00FC6B02">
      <w:r>
        <w:separator/>
      </w:r>
    </w:p>
  </w:footnote>
  <w:footnote w:type="continuationSeparator" w:id="0">
    <w:p w:rsidR="00FC6B02" w:rsidRDefault="00FC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05" w:rsidRDefault="009F7C05">
    <w:pPr>
      <w:pStyle w:val="a3"/>
    </w:pPr>
  </w:p>
  <w:p w:rsidR="009F7C05" w:rsidRDefault="009F7C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16368"/>
    <w:multiLevelType w:val="hybridMultilevel"/>
    <w:tmpl w:val="A4189CD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664C2C43"/>
    <w:multiLevelType w:val="hybridMultilevel"/>
    <w:tmpl w:val="51A0F74A"/>
    <w:lvl w:ilvl="0" w:tplc="5830B32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6E020BE7"/>
    <w:multiLevelType w:val="hybridMultilevel"/>
    <w:tmpl w:val="388E28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7BC162F8"/>
    <w:multiLevelType w:val="hybridMultilevel"/>
    <w:tmpl w:val="B622C70E"/>
    <w:lvl w:ilvl="0" w:tplc="6D4C6582">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C3"/>
    <w:rsid w:val="00002D0A"/>
    <w:rsid w:val="00003AF9"/>
    <w:rsid w:val="00004337"/>
    <w:rsid w:val="00004CE0"/>
    <w:rsid w:val="000070E7"/>
    <w:rsid w:val="00007721"/>
    <w:rsid w:val="00010BE2"/>
    <w:rsid w:val="00012D47"/>
    <w:rsid w:val="000135F7"/>
    <w:rsid w:val="000146B3"/>
    <w:rsid w:val="00015BED"/>
    <w:rsid w:val="0002327E"/>
    <w:rsid w:val="00023B7C"/>
    <w:rsid w:val="00024E1F"/>
    <w:rsid w:val="00030F97"/>
    <w:rsid w:val="00031290"/>
    <w:rsid w:val="00031F35"/>
    <w:rsid w:val="00035BB5"/>
    <w:rsid w:val="00035E6A"/>
    <w:rsid w:val="00035F88"/>
    <w:rsid w:val="0003662F"/>
    <w:rsid w:val="000411D6"/>
    <w:rsid w:val="00041815"/>
    <w:rsid w:val="0004264C"/>
    <w:rsid w:val="00043E3F"/>
    <w:rsid w:val="000443FF"/>
    <w:rsid w:val="000453DB"/>
    <w:rsid w:val="00051546"/>
    <w:rsid w:val="00054D37"/>
    <w:rsid w:val="00056B15"/>
    <w:rsid w:val="0005764D"/>
    <w:rsid w:val="00061189"/>
    <w:rsid w:val="000635E8"/>
    <w:rsid w:val="0006744A"/>
    <w:rsid w:val="00067F62"/>
    <w:rsid w:val="0007407D"/>
    <w:rsid w:val="000750A3"/>
    <w:rsid w:val="0007536F"/>
    <w:rsid w:val="00075F6B"/>
    <w:rsid w:val="00084D6E"/>
    <w:rsid w:val="0008544C"/>
    <w:rsid w:val="00085A89"/>
    <w:rsid w:val="00086D00"/>
    <w:rsid w:val="00087973"/>
    <w:rsid w:val="00087F5B"/>
    <w:rsid w:val="00090568"/>
    <w:rsid w:val="000927C7"/>
    <w:rsid w:val="00093FA3"/>
    <w:rsid w:val="00094828"/>
    <w:rsid w:val="00094E6E"/>
    <w:rsid w:val="00095287"/>
    <w:rsid w:val="000A02ED"/>
    <w:rsid w:val="000A07D8"/>
    <w:rsid w:val="000A1368"/>
    <w:rsid w:val="000A57D3"/>
    <w:rsid w:val="000A6FF6"/>
    <w:rsid w:val="000B0147"/>
    <w:rsid w:val="000B0A51"/>
    <w:rsid w:val="000B23E2"/>
    <w:rsid w:val="000B49DB"/>
    <w:rsid w:val="000B543D"/>
    <w:rsid w:val="000B7385"/>
    <w:rsid w:val="000C04E8"/>
    <w:rsid w:val="000C2E38"/>
    <w:rsid w:val="000C34E3"/>
    <w:rsid w:val="000C3CA3"/>
    <w:rsid w:val="000C55DF"/>
    <w:rsid w:val="000D0573"/>
    <w:rsid w:val="000D1C3E"/>
    <w:rsid w:val="000D4B3B"/>
    <w:rsid w:val="000D592F"/>
    <w:rsid w:val="000D6FC2"/>
    <w:rsid w:val="000D70B3"/>
    <w:rsid w:val="000D7578"/>
    <w:rsid w:val="000E4633"/>
    <w:rsid w:val="000E66A6"/>
    <w:rsid w:val="000E6B69"/>
    <w:rsid w:val="000F1355"/>
    <w:rsid w:val="000F39EB"/>
    <w:rsid w:val="000F53B5"/>
    <w:rsid w:val="000F76CD"/>
    <w:rsid w:val="000F7E2D"/>
    <w:rsid w:val="00100EB1"/>
    <w:rsid w:val="00101403"/>
    <w:rsid w:val="001018C3"/>
    <w:rsid w:val="001019B2"/>
    <w:rsid w:val="00102FFA"/>
    <w:rsid w:val="00104701"/>
    <w:rsid w:val="00104773"/>
    <w:rsid w:val="00104B57"/>
    <w:rsid w:val="001058EA"/>
    <w:rsid w:val="0010694C"/>
    <w:rsid w:val="00110065"/>
    <w:rsid w:val="00112B99"/>
    <w:rsid w:val="001138E7"/>
    <w:rsid w:val="001168AA"/>
    <w:rsid w:val="00120626"/>
    <w:rsid w:val="00123D89"/>
    <w:rsid w:val="00126E12"/>
    <w:rsid w:val="00127D12"/>
    <w:rsid w:val="001300E2"/>
    <w:rsid w:val="001307EA"/>
    <w:rsid w:val="001330DE"/>
    <w:rsid w:val="001364C9"/>
    <w:rsid w:val="00136FE0"/>
    <w:rsid w:val="00137A48"/>
    <w:rsid w:val="00140C19"/>
    <w:rsid w:val="00140FE1"/>
    <w:rsid w:val="001419C8"/>
    <w:rsid w:val="00141B5C"/>
    <w:rsid w:val="00141C4A"/>
    <w:rsid w:val="001425B2"/>
    <w:rsid w:val="00143D66"/>
    <w:rsid w:val="00147992"/>
    <w:rsid w:val="001524AE"/>
    <w:rsid w:val="00153535"/>
    <w:rsid w:val="00154300"/>
    <w:rsid w:val="00154868"/>
    <w:rsid w:val="001548B8"/>
    <w:rsid w:val="00155488"/>
    <w:rsid w:val="001559F7"/>
    <w:rsid w:val="001578A8"/>
    <w:rsid w:val="001621D7"/>
    <w:rsid w:val="0016341B"/>
    <w:rsid w:val="00164030"/>
    <w:rsid w:val="0016450A"/>
    <w:rsid w:val="0016646C"/>
    <w:rsid w:val="001715E3"/>
    <w:rsid w:val="0017334A"/>
    <w:rsid w:val="00175164"/>
    <w:rsid w:val="00175CB8"/>
    <w:rsid w:val="001772F7"/>
    <w:rsid w:val="00177AD6"/>
    <w:rsid w:val="00182161"/>
    <w:rsid w:val="001833FA"/>
    <w:rsid w:val="00185172"/>
    <w:rsid w:val="001869DB"/>
    <w:rsid w:val="00191179"/>
    <w:rsid w:val="00191D28"/>
    <w:rsid w:val="00193483"/>
    <w:rsid w:val="0019466D"/>
    <w:rsid w:val="00194AE9"/>
    <w:rsid w:val="00196EC9"/>
    <w:rsid w:val="001A04C4"/>
    <w:rsid w:val="001A05DD"/>
    <w:rsid w:val="001A440E"/>
    <w:rsid w:val="001A48AF"/>
    <w:rsid w:val="001A594E"/>
    <w:rsid w:val="001A61C9"/>
    <w:rsid w:val="001A6639"/>
    <w:rsid w:val="001A7535"/>
    <w:rsid w:val="001B19CE"/>
    <w:rsid w:val="001B27D4"/>
    <w:rsid w:val="001B3078"/>
    <w:rsid w:val="001B3E11"/>
    <w:rsid w:val="001B419C"/>
    <w:rsid w:val="001B4A70"/>
    <w:rsid w:val="001B51B4"/>
    <w:rsid w:val="001B6EAE"/>
    <w:rsid w:val="001C0AF9"/>
    <w:rsid w:val="001C1E02"/>
    <w:rsid w:val="001C3B5B"/>
    <w:rsid w:val="001C5193"/>
    <w:rsid w:val="001C7BC9"/>
    <w:rsid w:val="001D342B"/>
    <w:rsid w:val="001D5161"/>
    <w:rsid w:val="001D636F"/>
    <w:rsid w:val="001D773C"/>
    <w:rsid w:val="001E0B6B"/>
    <w:rsid w:val="001E1C77"/>
    <w:rsid w:val="001E2A24"/>
    <w:rsid w:val="001E3073"/>
    <w:rsid w:val="001E3B23"/>
    <w:rsid w:val="001E3C3B"/>
    <w:rsid w:val="001E3F8E"/>
    <w:rsid w:val="001E4333"/>
    <w:rsid w:val="001E7B74"/>
    <w:rsid w:val="001F371E"/>
    <w:rsid w:val="001F541B"/>
    <w:rsid w:val="001F5F83"/>
    <w:rsid w:val="001F6CB2"/>
    <w:rsid w:val="00200722"/>
    <w:rsid w:val="00200E8A"/>
    <w:rsid w:val="00201B35"/>
    <w:rsid w:val="00202766"/>
    <w:rsid w:val="00203389"/>
    <w:rsid w:val="00203C29"/>
    <w:rsid w:val="00204B95"/>
    <w:rsid w:val="00205539"/>
    <w:rsid w:val="0020719A"/>
    <w:rsid w:val="002119E3"/>
    <w:rsid w:val="00211D49"/>
    <w:rsid w:val="0021400E"/>
    <w:rsid w:val="0021410F"/>
    <w:rsid w:val="00221ACF"/>
    <w:rsid w:val="00223CB4"/>
    <w:rsid w:val="002244C4"/>
    <w:rsid w:val="0022723F"/>
    <w:rsid w:val="0023015D"/>
    <w:rsid w:val="002301D4"/>
    <w:rsid w:val="002311ED"/>
    <w:rsid w:val="0023187B"/>
    <w:rsid w:val="002323BA"/>
    <w:rsid w:val="002325FA"/>
    <w:rsid w:val="00232E08"/>
    <w:rsid w:val="002331F7"/>
    <w:rsid w:val="00233B09"/>
    <w:rsid w:val="0023541B"/>
    <w:rsid w:val="00236E4F"/>
    <w:rsid w:val="002375FD"/>
    <w:rsid w:val="00240726"/>
    <w:rsid w:val="00241E71"/>
    <w:rsid w:val="00243780"/>
    <w:rsid w:val="00245192"/>
    <w:rsid w:val="00245A08"/>
    <w:rsid w:val="00245F9A"/>
    <w:rsid w:val="00246F77"/>
    <w:rsid w:val="002508F2"/>
    <w:rsid w:val="00251B4B"/>
    <w:rsid w:val="0025222D"/>
    <w:rsid w:val="00252E22"/>
    <w:rsid w:val="00255ED3"/>
    <w:rsid w:val="00257513"/>
    <w:rsid w:val="0026120D"/>
    <w:rsid w:val="0026331E"/>
    <w:rsid w:val="0026513B"/>
    <w:rsid w:val="00266109"/>
    <w:rsid w:val="00267106"/>
    <w:rsid w:val="002677B9"/>
    <w:rsid w:val="00272B07"/>
    <w:rsid w:val="002743AF"/>
    <w:rsid w:val="0027455E"/>
    <w:rsid w:val="002752A0"/>
    <w:rsid w:val="002752F4"/>
    <w:rsid w:val="00276AB7"/>
    <w:rsid w:val="0028180D"/>
    <w:rsid w:val="00281CB1"/>
    <w:rsid w:val="002824EE"/>
    <w:rsid w:val="00282CE9"/>
    <w:rsid w:val="00283426"/>
    <w:rsid w:val="0028434E"/>
    <w:rsid w:val="00284CBF"/>
    <w:rsid w:val="002864A5"/>
    <w:rsid w:val="00293CDA"/>
    <w:rsid w:val="00294672"/>
    <w:rsid w:val="0029600C"/>
    <w:rsid w:val="002A169C"/>
    <w:rsid w:val="002A1A67"/>
    <w:rsid w:val="002A1EFD"/>
    <w:rsid w:val="002A4D98"/>
    <w:rsid w:val="002A5DAA"/>
    <w:rsid w:val="002B2A82"/>
    <w:rsid w:val="002B3F2B"/>
    <w:rsid w:val="002B4CBD"/>
    <w:rsid w:val="002B5DF0"/>
    <w:rsid w:val="002B5E44"/>
    <w:rsid w:val="002C0348"/>
    <w:rsid w:val="002C07F4"/>
    <w:rsid w:val="002C125A"/>
    <w:rsid w:val="002C5855"/>
    <w:rsid w:val="002C7775"/>
    <w:rsid w:val="002D0703"/>
    <w:rsid w:val="002D0DA7"/>
    <w:rsid w:val="002D0FE4"/>
    <w:rsid w:val="002D27EC"/>
    <w:rsid w:val="002D477E"/>
    <w:rsid w:val="002D4913"/>
    <w:rsid w:val="002D5267"/>
    <w:rsid w:val="002D7DCD"/>
    <w:rsid w:val="002E0116"/>
    <w:rsid w:val="002E1954"/>
    <w:rsid w:val="002E26E6"/>
    <w:rsid w:val="002E2732"/>
    <w:rsid w:val="002E2836"/>
    <w:rsid w:val="002E2DB5"/>
    <w:rsid w:val="002E51D3"/>
    <w:rsid w:val="002E5600"/>
    <w:rsid w:val="002E72F4"/>
    <w:rsid w:val="002E761A"/>
    <w:rsid w:val="002E78CE"/>
    <w:rsid w:val="002E7B33"/>
    <w:rsid w:val="002F07F6"/>
    <w:rsid w:val="002F176A"/>
    <w:rsid w:val="002F589D"/>
    <w:rsid w:val="002F5E68"/>
    <w:rsid w:val="00301320"/>
    <w:rsid w:val="00301A06"/>
    <w:rsid w:val="00302B3F"/>
    <w:rsid w:val="00305FAE"/>
    <w:rsid w:val="00306B2B"/>
    <w:rsid w:val="00313DFA"/>
    <w:rsid w:val="00313EC5"/>
    <w:rsid w:val="003169B3"/>
    <w:rsid w:val="003171AD"/>
    <w:rsid w:val="0031775C"/>
    <w:rsid w:val="0032216D"/>
    <w:rsid w:val="00323296"/>
    <w:rsid w:val="00323DFB"/>
    <w:rsid w:val="00326ECC"/>
    <w:rsid w:val="00327A20"/>
    <w:rsid w:val="00330FFC"/>
    <w:rsid w:val="003310C9"/>
    <w:rsid w:val="003332B6"/>
    <w:rsid w:val="00335022"/>
    <w:rsid w:val="0033506D"/>
    <w:rsid w:val="003350C7"/>
    <w:rsid w:val="0033636E"/>
    <w:rsid w:val="00336864"/>
    <w:rsid w:val="003369E6"/>
    <w:rsid w:val="00337390"/>
    <w:rsid w:val="003375CC"/>
    <w:rsid w:val="00337B53"/>
    <w:rsid w:val="00340384"/>
    <w:rsid w:val="0034048C"/>
    <w:rsid w:val="00340F4E"/>
    <w:rsid w:val="00341AB0"/>
    <w:rsid w:val="003424AE"/>
    <w:rsid w:val="00342E92"/>
    <w:rsid w:val="00343159"/>
    <w:rsid w:val="00343942"/>
    <w:rsid w:val="0034412E"/>
    <w:rsid w:val="003461F3"/>
    <w:rsid w:val="0034632C"/>
    <w:rsid w:val="00347A18"/>
    <w:rsid w:val="00350132"/>
    <w:rsid w:val="00351EE7"/>
    <w:rsid w:val="0035265F"/>
    <w:rsid w:val="003535BF"/>
    <w:rsid w:val="00356627"/>
    <w:rsid w:val="00361942"/>
    <w:rsid w:val="003627DA"/>
    <w:rsid w:val="003649F1"/>
    <w:rsid w:val="00364A84"/>
    <w:rsid w:val="003661C7"/>
    <w:rsid w:val="003666D4"/>
    <w:rsid w:val="00370ABE"/>
    <w:rsid w:val="00370BF6"/>
    <w:rsid w:val="00372298"/>
    <w:rsid w:val="0037286F"/>
    <w:rsid w:val="00372B56"/>
    <w:rsid w:val="003739D6"/>
    <w:rsid w:val="00374768"/>
    <w:rsid w:val="00375438"/>
    <w:rsid w:val="00377029"/>
    <w:rsid w:val="00380383"/>
    <w:rsid w:val="00380600"/>
    <w:rsid w:val="00381F05"/>
    <w:rsid w:val="003861CC"/>
    <w:rsid w:val="00386E4E"/>
    <w:rsid w:val="0039021C"/>
    <w:rsid w:val="00390A5C"/>
    <w:rsid w:val="0039324A"/>
    <w:rsid w:val="003940F8"/>
    <w:rsid w:val="0039579F"/>
    <w:rsid w:val="0039602F"/>
    <w:rsid w:val="00396B20"/>
    <w:rsid w:val="003A09C2"/>
    <w:rsid w:val="003A10BE"/>
    <w:rsid w:val="003A1AD7"/>
    <w:rsid w:val="003A3E9B"/>
    <w:rsid w:val="003A3FB1"/>
    <w:rsid w:val="003A43E8"/>
    <w:rsid w:val="003B1379"/>
    <w:rsid w:val="003B24D6"/>
    <w:rsid w:val="003B4BD3"/>
    <w:rsid w:val="003C15D2"/>
    <w:rsid w:val="003C4792"/>
    <w:rsid w:val="003D0269"/>
    <w:rsid w:val="003D28ED"/>
    <w:rsid w:val="003D2DA2"/>
    <w:rsid w:val="003D31AF"/>
    <w:rsid w:val="003D353A"/>
    <w:rsid w:val="003D373F"/>
    <w:rsid w:val="003E2D7A"/>
    <w:rsid w:val="003E3DB7"/>
    <w:rsid w:val="003E4BEF"/>
    <w:rsid w:val="003E5830"/>
    <w:rsid w:val="003E5838"/>
    <w:rsid w:val="003E60C5"/>
    <w:rsid w:val="003F0077"/>
    <w:rsid w:val="003F4BB2"/>
    <w:rsid w:val="003F5BF4"/>
    <w:rsid w:val="003F6736"/>
    <w:rsid w:val="003F6B2D"/>
    <w:rsid w:val="00401810"/>
    <w:rsid w:val="00406952"/>
    <w:rsid w:val="00410002"/>
    <w:rsid w:val="004124D8"/>
    <w:rsid w:val="00412D2C"/>
    <w:rsid w:val="004141DB"/>
    <w:rsid w:val="004164A2"/>
    <w:rsid w:val="004173A2"/>
    <w:rsid w:val="00420D00"/>
    <w:rsid w:val="0042186F"/>
    <w:rsid w:val="00424597"/>
    <w:rsid w:val="00424E1F"/>
    <w:rsid w:val="00425FAC"/>
    <w:rsid w:val="004261E7"/>
    <w:rsid w:val="00433328"/>
    <w:rsid w:val="00436658"/>
    <w:rsid w:val="0043752C"/>
    <w:rsid w:val="00437E15"/>
    <w:rsid w:val="0044016A"/>
    <w:rsid w:val="00440CA3"/>
    <w:rsid w:val="00440D8C"/>
    <w:rsid w:val="0044155B"/>
    <w:rsid w:val="00441981"/>
    <w:rsid w:val="00445369"/>
    <w:rsid w:val="00445443"/>
    <w:rsid w:val="00452B12"/>
    <w:rsid w:val="00452B28"/>
    <w:rsid w:val="00455829"/>
    <w:rsid w:val="00456631"/>
    <w:rsid w:val="0045774A"/>
    <w:rsid w:val="00461596"/>
    <w:rsid w:val="00461E27"/>
    <w:rsid w:val="004624A1"/>
    <w:rsid w:val="0046539C"/>
    <w:rsid w:val="0046651A"/>
    <w:rsid w:val="0046774E"/>
    <w:rsid w:val="0047097D"/>
    <w:rsid w:val="004718E2"/>
    <w:rsid w:val="004731D7"/>
    <w:rsid w:val="00473FB9"/>
    <w:rsid w:val="00474AD1"/>
    <w:rsid w:val="00475D04"/>
    <w:rsid w:val="00480178"/>
    <w:rsid w:val="004806EE"/>
    <w:rsid w:val="004829DF"/>
    <w:rsid w:val="00482F1C"/>
    <w:rsid w:val="0048511C"/>
    <w:rsid w:val="00486810"/>
    <w:rsid w:val="0048682C"/>
    <w:rsid w:val="00487215"/>
    <w:rsid w:val="0048745A"/>
    <w:rsid w:val="00494F0D"/>
    <w:rsid w:val="0049560D"/>
    <w:rsid w:val="004A043D"/>
    <w:rsid w:val="004A736C"/>
    <w:rsid w:val="004A7760"/>
    <w:rsid w:val="004A78A1"/>
    <w:rsid w:val="004B0F3E"/>
    <w:rsid w:val="004B18EB"/>
    <w:rsid w:val="004B230C"/>
    <w:rsid w:val="004B31EF"/>
    <w:rsid w:val="004B6BA7"/>
    <w:rsid w:val="004C0488"/>
    <w:rsid w:val="004C120E"/>
    <w:rsid w:val="004C377F"/>
    <w:rsid w:val="004C4388"/>
    <w:rsid w:val="004C4651"/>
    <w:rsid w:val="004C716D"/>
    <w:rsid w:val="004C71BE"/>
    <w:rsid w:val="004D0CAB"/>
    <w:rsid w:val="004D2517"/>
    <w:rsid w:val="004D563B"/>
    <w:rsid w:val="004D7DF5"/>
    <w:rsid w:val="004E5B4E"/>
    <w:rsid w:val="004E60E2"/>
    <w:rsid w:val="004E6BDF"/>
    <w:rsid w:val="004F0B98"/>
    <w:rsid w:val="004F0C0F"/>
    <w:rsid w:val="004F2099"/>
    <w:rsid w:val="004F2BB2"/>
    <w:rsid w:val="004F3E72"/>
    <w:rsid w:val="004F3EEC"/>
    <w:rsid w:val="004F41AB"/>
    <w:rsid w:val="004F4BCF"/>
    <w:rsid w:val="004F68EB"/>
    <w:rsid w:val="004F7230"/>
    <w:rsid w:val="004F75CA"/>
    <w:rsid w:val="00501CAF"/>
    <w:rsid w:val="00501D60"/>
    <w:rsid w:val="00502563"/>
    <w:rsid w:val="00505318"/>
    <w:rsid w:val="005059A9"/>
    <w:rsid w:val="00505BA7"/>
    <w:rsid w:val="00512DF1"/>
    <w:rsid w:val="00514EDE"/>
    <w:rsid w:val="00517E65"/>
    <w:rsid w:val="0052035B"/>
    <w:rsid w:val="005212AE"/>
    <w:rsid w:val="0052150D"/>
    <w:rsid w:val="0052153A"/>
    <w:rsid w:val="00523BA9"/>
    <w:rsid w:val="00523FB5"/>
    <w:rsid w:val="00524A3F"/>
    <w:rsid w:val="00526D3A"/>
    <w:rsid w:val="00530D08"/>
    <w:rsid w:val="00531659"/>
    <w:rsid w:val="005341C7"/>
    <w:rsid w:val="00540A9D"/>
    <w:rsid w:val="0054146B"/>
    <w:rsid w:val="00542069"/>
    <w:rsid w:val="005435CE"/>
    <w:rsid w:val="00543976"/>
    <w:rsid w:val="00544F89"/>
    <w:rsid w:val="005472FB"/>
    <w:rsid w:val="00547A5C"/>
    <w:rsid w:val="00550546"/>
    <w:rsid w:val="005512CB"/>
    <w:rsid w:val="00551BA0"/>
    <w:rsid w:val="0055251A"/>
    <w:rsid w:val="00553221"/>
    <w:rsid w:val="00554611"/>
    <w:rsid w:val="005546EB"/>
    <w:rsid w:val="0055619A"/>
    <w:rsid w:val="00562501"/>
    <w:rsid w:val="00565828"/>
    <w:rsid w:val="00565C6B"/>
    <w:rsid w:val="00566888"/>
    <w:rsid w:val="005671D5"/>
    <w:rsid w:val="00567D1F"/>
    <w:rsid w:val="00571463"/>
    <w:rsid w:val="00571D8E"/>
    <w:rsid w:val="005727BA"/>
    <w:rsid w:val="0057470D"/>
    <w:rsid w:val="00576311"/>
    <w:rsid w:val="00576486"/>
    <w:rsid w:val="005803D1"/>
    <w:rsid w:val="005809E8"/>
    <w:rsid w:val="00581A1F"/>
    <w:rsid w:val="00582300"/>
    <w:rsid w:val="005839C3"/>
    <w:rsid w:val="00586589"/>
    <w:rsid w:val="00586D24"/>
    <w:rsid w:val="0058787F"/>
    <w:rsid w:val="00587D30"/>
    <w:rsid w:val="00592F70"/>
    <w:rsid w:val="005979FB"/>
    <w:rsid w:val="005A1614"/>
    <w:rsid w:val="005A1C8B"/>
    <w:rsid w:val="005A43F9"/>
    <w:rsid w:val="005A5179"/>
    <w:rsid w:val="005A7D06"/>
    <w:rsid w:val="005B06E0"/>
    <w:rsid w:val="005B0EE6"/>
    <w:rsid w:val="005B397F"/>
    <w:rsid w:val="005B5CAC"/>
    <w:rsid w:val="005C0E6F"/>
    <w:rsid w:val="005C170B"/>
    <w:rsid w:val="005C2972"/>
    <w:rsid w:val="005C3B32"/>
    <w:rsid w:val="005C4193"/>
    <w:rsid w:val="005C5227"/>
    <w:rsid w:val="005C53CF"/>
    <w:rsid w:val="005C6783"/>
    <w:rsid w:val="005C6A11"/>
    <w:rsid w:val="005C6DB4"/>
    <w:rsid w:val="005C7E64"/>
    <w:rsid w:val="005C7ED8"/>
    <w:rsid w:val="005D033F"/>
    <w:rsid w:val="005D2DF2"/>
    <w:rsid w:val="005D4403"/>
    <w:rsid w:val="005D7961"/>
    <w:rsid w:val="005E00DD"/>
    <w:rsid w:val="005E064C"/>
    <w:rsid w:val="005E1308"/>
    <w:rsid w:val="005E130D"/>
    <w:rsid w:val="005E1E3C"/>
    <w:rsid w:val="005E41B4"/>
    <w:rsid w:val="005E46B9"/>
    <w:rsid w:val="005E53EC"/>
    <w:rsid w:val="005E59CF"/>
    <w:rsid w:val="005E7AC4"/>
    <w:rsid w:val="005F0F84"/>
    <w:rsid w:val="005F178A"/>
    <w:rsid w:val="005F18AF"/>
    <w:rsid w:val="005F1DDE"/>
    <w:rsid w:val="005F1E03"/>
    <w:rsid w:val="005F2C2B"/>
    <w:rsid w:val="005F4148"/>
    <w:rsid w:val="005F449E"/>
    <w:rsid w:val="005F6980"/>
    <w:rsid w:val="0060200A"/>
    <w:rsid w:val="006021AF"/>
    <w:rsid w:val="00602AEC"/>
    <w:rsid w:val="0060300C"/>
    <w:rsid w:val="0060526D"/>
    <w:rsid w:val="006057A0"/>
    <w:rsid w:val="006059C1"/>
    <w:rsid w:val="00605E27"/>
    <w:rsid w:val="00606525"/>
    <w:rsid w:val="006067A9"/>
    <w:rsid w:val="00607D20"/>
    <w:rsid w:val="006108E9"/>
    <w:rsid w:val="0061237D"/>
    <w:rsid w:val="00612919"/>
    <w:rsid w:val="00613B0B"/>
    <w:rsid w:val="006167E0"/>
    <w:rsid w:val="00616CE5"/>
    <w:rsid w:val="006172EC"/>
    <w:rsid w:val="00620BED"/>
    <w:rsid w:val="00621FC2"/>
    <w:rsid w:val="00622F07"/>
    <w:rsid w:val="00624B0B"/>
    <w:rsid w:val="00625F21"/>
    <w:rsid w:val="0063289E"/>
    <w:rsid w:val="00634091"/>
    <w:rsid w:val="00634364"/>
    <w:rsid w:val="00635E10"/>
    <w:rsid w:val="006370A8"/>
    <w:rsid w:val="0064400A"/>
    <w:rsid w:val="0064493A"/>
    <w:rsid w:val="0064615E"/>
    <w:rsid w:val="00646EA4"/>
    <w:rsid w:val="00646EE0"/>
    <w:rsid w:val="00647A75"/>
    <w:rsid w:val="006500F1"/>
    <w:rsid w:val="006504FF"/>
    <w:rsid w:val="00651F99"/>
    <w:rsid w:val="00654318"/>
    <w:rsid w:val="00660138"/>
    <w:rsid w:val="00665870"/>
    <w:rsid w:val="006659EF"/>
    <w:rsid w:val="00665BF6"/>
    <w:rsid w:val="00671227"/>
    <w:rsid w:val="00672CBC"/>
    <w:rsid w:val="0067340E"/>
    <w:rsid w:val="006740D8"/>
    <w:rsid w:val="006750AE"/>
    <w:rsid w:val="00675874"/>
    <w:rsid w:val="00675B89"/>
    <w:rsid w:val="00677712"/>
    <w:rsid w:val="006809FF"/>
    <w:rsid w:val="00680B07"/>
    <w:rsid w:val="0068110D"/>
    <w:rsid w:val="006812E2"/>
    <w:rsid w:val="0068201A"/>
    <w:rsid w:val="00682A3F"/>
    <w:rsid w:val="00683D22"/>
    <w:rsid w:val="00684F21"/>
    <w:rsid w:val="00686599"/>
    <w:rsid w:val="00687DCE"/>
    <w:rsid w:val="00690F7C"/>
    <w:rsid w:val="00691362"/>
    <w:rsid w:val="0069337E"/>
    <w:rsid w:val="00694643"/>
    <w:rsid w:val="00697FB1"/>
    <w:rsid w:val="006A242C"/>
    <w:rsid w:val="006A503F"/>
    <w:rsid w:val="006A5853"/>
    <w:rsid w:val="006B1F59"/>
    <w:rsid w:val="006B4912"/>
    <w:rsid w:val="006B4914"/>
    <w:rsid w:val="006B512A"/>
    <w:rsid w:val="006B5AD6"/>
    <w:rsid w:val="006B787E"/>
    <w:rsid w:val="006B7EE7"/>
    <w:rsid w:val="006C35B3"/>
    <w:rsid w:val="006C76CF"/>
    <w:rsid w:val="006D08D1"/>
    <w:rsid w:val="006D1017"/>
    <w:rsid w:val="006D1612"/>
    <w:rsid w:val="006D19B3"/>
    <w:rsid w:val="006D23E8"/>
    <w:rsid w:val="006D45AA"/>
    <w:rsid w:val="006D4769"/>
    <w:rsid w:val="006D4C89"/>
    <w:rsid w:val="006D6981"/>
    <w:rsid w:val="006E039A"/>
    <w:rsid w:val="006E0C54"/>
    <w:rsid w:val="006E1FDB"/>
    <w:rsid w:val="006E28B5"/>
    <w:rsid w:val="006E3E4E"/>
    <w:rsid w:val="006E5991"/>
    <w:rsid w:val="006F01B1"/>
    <w:rsid w:val="006F3448"/>
    <w:rsid w:val="006F3663"/>
    <w:rsid w:val="006F519A"/>
    <w:rsid w:val="006F6361"/>
    <w:rsid w:val="007005BA"/>
    <w:rsid w:val="00700CB9"/>
    <w:rsid w:val="00701B42"/>
    <w:rsid w:val="0070297A"/>
    <w:rsid w:val="007037EA"/>
    <w:rsid w:val="0070384D"/>
    <w:rsid w:val="007060BE"/>
    <w:rsid w:val="00707D64"/>
    <w:rsid w:val="0071008E"/>
    <w:rsid w:val="007110F8"/>
    <w:rsid w:val="00711E5F"/>
    <w:rsid w:val="00713D3A"/>
    <w:rsid w:val="007152F8"/>
    <w:rsid w:val="007167F0"/>
    <w:rsid w:val="0071726C"/>
    <w:rsid w:val="0071765B"/>
    <w:rsid w:val="00717FCD"/>
    <w:rsid w:val="007224F2"/>
    <w:rsid w:val="00722562"/>
    <w:rsid w:val="00723B69"/>
    <w:rsid w:val="007245D2"/>
    <w:rsid w:val="00726CA9"/>
    <w:rsid w:val="00727DB0"/>
    <w:rsid w:val="00730170"/>
    <w:rsid w:val="0073164C"/>
    <w:rsid w:val="00733A36"/>
    <w:rsid w:val="00734C10"/>
    <w:rsid w:val="0073613C"/>
    <w:rsid w:val="00740DE9"/>
    <w:rsid w:val="00740F44"/>
    <w:rsid w:val="00742AE2"/>
    <w:rsid w:val="007433D3"/>
    <w:rsid w:val="0074641B"/>
    <w:rsid w:val="00747E48"/>
    <w:rsid w:val="00756DFB"/>
    <w:rsid w:val="00757217"/>
    <w:rsid w:val="00757C8A"/>
    <w:rsid w:val="0076017D"/>
    <w:rsid w:val="00762193"/>
    <w:rsid w:val="00762B1B"/>
    <w:rsid w:val="007633A7"/>
    <w:rsid w:val="007634A7"/>
    <w:rsid w:val="00764715"/>
    <w:rsid w:val="0076520E"/>
    <w:rsid w:val="0076526D"/>
    <w:rsid w:val="007706A5"/>
    <w:rsid w:val="007727F8"/>
    <w:rsid w:val="00772AD9"/>
    <w:rsid w:val="00774925"/>
    <w:rsid w:val="00775805"/>
    <w:rsid w:val="00777DBD"/>
    <w:rsid w:val="007812B2"/>
    <w:rsid w:val="007814E1"/>
    <w:rsid w:val="00781B42"/>
    <w:rsid w:val="0078294C"/>
    <w:rsid w:val="00782C2B"/>
    <w:rsid w:val="00785967"/>
    <w:rsid w:val="00790224"/>
    <w:rsid w:val="007915A2"/>
    <w:rsid w:val="00793700"/>
    <w:rsid w:val="00793826"/>
    <w:rsid w:val="00793B47"/>
    <w:rsid w:val="00793DB1"/>
    <w:rsid w:val="00794BF3"/>
    <w:rsid w:val="00795534"/>
    <w:rsid w:val="00795F21"/>
    <w:rsid w:val="007976C6"/>
    <w:rsid w:val="007A0B29"/>
    <w:rsid w:val="007A1749"/>
    <w:rsid w:val="007A1796"/>
    <w:rsid w:val="007A2C87"/>
    <w:rsid w:val="007A5B9B"/>
    <w:rsid w:val="007A5E8E"/>
    <w:rsid w:val="007A6F06"/>
    <w:rsid w:val="007A7A90"/>
    <w:rsid w:val="007B1250"/>
    <w:rsid w:val="007B14C6"/>
    <w:rsid w:val="007B3988"/>
    <w:rsid w:val="007B3ACB"/>
    <w:rsid w:val="007B3B0A"/>
    <w:rsid w:val="007B553B"/>
    <w:rsid w:val="007B6838"/>
    <w:rsid w:val="007B7090"/>
    <w:rsid w:val="007B7356"/>
    <w:rsid w:val="007B7365"/>
    <w:rsid w:val="007B7BE3"/>
    <w:rsid w:val="007C2CBC"/>
    <w:rsid w:val="007C3BDB"/>
    <w:rsid w:val="007C7569"/>
    <w:rsid w:val="007C7C59"/>
    <w:rsid w:val="007C7EDA"/>
    <w:rsid w:val="007D27E3"/>
    <w:rsid w:val="007D2A47"/>
    <w:rsid w:val="007D457D"/>
    <w:rsid w:val="007D5E9B"/>
    <w:rsid w:val="007D765C"/>
    <w:rsid w:val="007D76D7"/>
    <w:rsid w:val="007D7D36"/>
    <w:rsid w:val="007E03A5"/>
    <w:rsid w:val="007E04AF"/>
    <w:rsid w:val="007E054C"/>
    <w:rsid w:val="007E13CE"/>
    <w:rsid w:val="007E1E82"/>
    <w:rsid w:val="007E3EB1"/>
    <w:rsid w:val="007E47CD"/>
    <w:rsid w:val="007E5BB9"/>
    <w:rsid w:val="007E6B8C"/>
    <w:rsid w:val="007E7144"/>
    <w:rsid w:val="007E733D"/>
    <w:rsid w:val="007F12FC"/>
    <w:rsid w:val="007F35C8"/>
    <w:rsid w:val="007F3BDC"/>
    <w:rsid w:val="008011D2"/>
    <w:rsid w:val="00804B9C"/>
    <w:rsid w:val="008123CA"/>
    <w:rsid w:val="00813604"/>
    <w:rsid w:val="008144FD"/>
    <w:rsid w:val="0081481A"/>
    <w:rsid w:val="008149BB"/>
    <w:rsid w:val="00815739"/>
    <w:rsid w:val="008168E6"/>
    <w:rsid w:val="00817D10"/>
    <w:rsid w:val="00820A21"/>
    <w:rsid w:val="00823F43"/>
    <w:rsid w:val="00824401"/>
    <w:rsid w:val="00824CB7"/>
    <w:rsid w:val="00825B30"/>
    <w:rsid w:val="00826920"/>
    <w:rsid w:val="00830742"/>
    <w:rsid w:val="00831260"/>
    <w:rsid w:val="00832E6D"/>
    <w:rsid w:val="00833165"/>
    <w:rsid w:val="00835171"/>
    <w:rsid w:val="00836941"/>
    <w:rsid w:val="00841914"/>
    <w:rsid w:val="00841D27"/>
    <w:rsid w:val="0084214C"/>
    <w:rsid w:val="00846340"/>
    <w:rsid w:val="00846373"/>
    <w:rsid w:val="00846678"/>
    <w:rsid w:val="00846B19"/>
    <w:rsid w:val="008475A0"/>
    <w:rsid w:val="00851983"/>
    <w:rsid w:val="00851DCD"/>
    <w:rsid w:val="00853814"/>
    <w:rsid w:val="008544D2"/>
    <w:rsid w:val="00854F5F"/>
    <w:rsid w:val="0085534C"/>
    <w:rsid w:val="00855C3D"/>
    <w:rsid w:val="0085606B"/>
    <w:rsid w:val="00856422"/>
    <w:rsid w:val="00856806"/>
    <w:rsid w:val="008621B7"/>
    <w:rsid w:val="00862B45"/>
    <w:rsid w:val="0086400F"/>
    <w:rsid w:val="00864B03"/>
    <w:rsid w:val="008706D5"/>
    <w:rsid w:val="008713FF"/>
    <w:rsid w:val="00872D0D"/>
    <w:rsid w:val="00876C8B"/>
    <w:rsid w:val="00882F96"/>
    <w:rsid w:val="008833C5"/>
    <w:rsid w:val="0088625E"/>
    <w:rsid w:val="00887FA0"/>
    <w:rsid w:val="00890819"/>
    <w:rsid w:val="008924B7"/>
    <w:rsid w:val="00892ACB"/>
    <w:rsid w:val="00892BAA"/>
    <w:rsid w:val="00893232"/>
    <w:rsid w:val="00894FF4"/>
    <w:rsid w:val="00895679"/>
    <w:rsid w:val="008A1778"/>
    <w:rsid w:val="008A39BF"/>
    <w:rsid w:val="008A3E30"/>
    <w:rsid w:val="008A4CD0"/>
    <w:rsid w:val="008A72CB"/>
    <w:rsid w:val="008A78A2"/>
    <w:rsid w:val="008B0438"/>
    <w:rsid w:val="008B0A1F"/>
    <w:rsid w:val="008B0BBC"/>
    <w:rsid w:val="008B2BB3"/>
    <w:rsid w:val="008B3027"/>
    <w:rsid w:val="008B39B3"/>
    <w:rsid w:val="008B5CAA"/>
    <w:rsid w:val="008B6365"/>
    <w:rsid w:val="008C0ACD"/>
    <w:rsid w:val="008C1F34"/>
    <w:rsid w:val="008C3E7F"/>
    <w:rsid w:val="008C4136"/>
    <w:rsid w:val="008C5E8F"/>
    <w:rsid w:val="008D016D"/>
    <w:rsid w:val="008D0CA6"/>
    <w:rsid w:val="008D4050"/>
    <w:rsid w:val="008D6291"/>
    <w:rsid w:val="008D73A9"/>
    <w:rsid w:val="008E0F08"/>
    <w:rsid w:val="008E2A41"/>
    <w:rsid w:val="008E2F11"/>
    <w:rsid w:val="008E3536"/>
    <w:rsid w:val="008E6368"/>
    <w:rsid w:val="008F15CE"/>
    <w:rsid w:val="008F3D79"/>
    <w:rsid w:val="008F3D8D"/>
    <w:rsid w:val="008F675F"/>
    <w:rsid w:val="008F7C8D"/>
    <w:rsid w:val="00902112"/>
    <w:rsid w:val="00903356"/>
    <w:rsid w:val="009035B7"/>
    <w:rsid w:val="00905E5D"/>
    <w:rsid w:val="00907A15"/>
    <w:rsid w:val="00911930"/>
    <w:rsid w:val="00913905"/>
    <w:rsid w:val="009139BB"/>
    <w:rsid w:val="00913D05"/>
    <w:rsid w:val="00914702"/>
    <w:rsid w:val="00915682"/>
    <w:rsid w:val="00921D31"/>
    <w:rsid w:val="0092363A"/>
    <w:rsid w:val="00923879"/>
    <w:rsid w:val="00923DDE"/>
    <w:rsid w:val="009249B5"/>
    <w:rsid w:val="009277F5"/>
    <w:rsid w:val="00927BDE"/>
    <w:rsid w:val="00930284"/>
    <w:rsid w:val="009315A0"/>
    <w:rsid w:val="00931E91"/>
    <w:rsid w:val="009321C9"/>
    <w:rsid w:val="00932F15"/>
    <w:rsid w:val="0093362A"/>
    <w:rsid w:val="00937644"/>
    <w:rsid w:val="009378AC"/>
    <w:rsid w:val="009407EF"/>
    <w:rsid w:val="0094259C"/>
    <w:rsid w:val="00942761"/>
    <w:rsid w:val="00942C90"/>
    <w:rsid w:val="00943F55"/>
    <w:rsid w:val="00944CFE"/>
    <w:rsid w:val="00946472"/>
    <w:rsid w:val="0095047B"/>
    <w:rsid w:val="00950E03"/>
    <w:rsid w:val="009546A3"/>
    <w:rsid w:val="00954D98"/>
    <w:rsid w:val="00955ED8"/>
    <w:rsid w:val="00957A08"/>
    <w:rsid w:val="00960450"/>
    <w:rsid w:val="009613F1"/>
    <w:rsid w:val="009624DB"/>
    <w:rsid w:val="009654D2"/>
    <w:rsid w:val="00966159"/>
    <w:rsid w:val="009662AF"/>
    <w:rsid w:val="0096634B"/>
    <w:rsid w:val="0096657D"/>
    <w:rsid w:val="00967529"/>
    <w:rsid w:val="0097007C"/>
    <w:rsid w:val="009701A5"/>
    <w:rsid w:val="00970250"/>
    <w:rsid w:val="0097034A"/>
    <w:rsid w:val="009737AF"/>
    <w:rsid w:val="00973F8E"/>
    <w:rsid w:val="009740F5"/>
    <w:rsid w:val="00977441"/>
    <w:rsid w:val="0098185C"/>
    <w:rsid w:val="009850A5"/>
    <w:rsid w:val="00986F37"/>
    <w:rsid w:val="00993266"/>
    <w:rsid w:val="009955BE"/>
    <w:rsid w:val="009976D2"/>
    <w:rsid w:val="009A0351"/>
    <w:rsid w:val="009A0A2A"/>
    <w:rsid w:val="009A0CB6"/>
    <w:rsid w:val="009A167F"/>
    <w:rsid w:val="009A2D9C"/>
    <w:rsid w:val="009A3336"/>
    <w:rsid w:val="009A34DF"/>
    <w:rsid w:val="009A481F"/>
    <w:rsid w:val="009A4A7F"/>
    <w:rsid w:val="009B07AA"/>
    <w:rsid w:val="009B1CEB"/>
    <w:rsid w:val="009B232A"/>
    <w:rsid w:val="009B2332"/>
    <w:rsid w:val="009B28D9"/>
    <w:rsid w:val="009B31B1"/>
    <w:rsid w:val="009B4F7E"/>
    <w:rsid w:val="009B672C"/>
    <w:rsid w:val="009B690F"/>
    <w:rsid w:val="009B6C37"/>
    <w:rsid w:val="009C08BF"/>
    <w:rsid w:val="009C37AF"/>
    <w:rsid w:val="009C44EB"/>
    <w:rsid w:val="009C5100"/>
    <w:rsid w:val="009C7AC3"/>
    <w:rsid w:val="009D21A1"/>
    <w:rsid w:val="009D21A2"/>
    <w:rsid w:val="009D4128"/>
    <w:rsid w:val="009D4FC9"/>
    <w:rsid w:val="009E1A98"/>
    <w:rsid w:val="009E23AC"/>
    <w:rsid w:val="009E399A"/>
    <w:rsid w:val="009E64F2"/>
    <w:rsid w:val="009E6633"/>
    <w:rsid w:val="009F784C"/>
    <w:rsid w:val="009F7C05"/>
    <w:rsid w:val="00A00354"/>
    <w:rsid w:val="00A047E0"/>
    <w:rsid w:val="00A0535C"/>
    <w:rsid w:val="00A05FFB"/>
    <w:rsid w:val="00A11657"/>
    <w:rsid w:val="00A11740"/>
    <w:rsid w:val="00A11A72"/>
    <w:rsid w:val="00A12A37"/>
    <w:rsid w:val="00A13A59"/>
    <w:rsid w:val="00A16FA8"/>
    <w:rsid w:val="00A23EDC"/>
    <w:rsid w:val="00A246CD"/>
    <w:rsid w:val="00A25446"/>
    <w:rsid w:val="00A2572C"/>
    <w:rsid w:val="00A26128"/>
    <w:rsid w:val="00A27EEB"/>
    <w:rsid w:val="00A32D7C"/>
    <w:rsid w:val="00A34DF3"/>
    <w:rsid w:val="00A35547"/>
    <w:rsid w:val="00A3687F"/>
    <w:rsid w:val="00A37912"/>
    <w:rsid w:val="00A407B2"/>
    <w:rsid w:val="00A407C7"/>
    <w:rsid w:val="00A42080"/>
    <w:rsid w:val="00A4343A"/>
    <w:rsid w:val="00A438ED"/>
    <w:rsid w:val="00A44E0C"/>
    <w:rsid w:val="00A4542F"/>
    <w:rsid w:val="00A45523"/>
    <w:rsid w:val="00A46AD5"/>
    <w:rsid w:val="00A50BCD"/>
    <w:rsid w:val="00A50CA9"/>
    <w:rsid w:val="00A50D70"/>
    <w:rsid w:val="00A50F5E"/>
    <w:rsid w:val="00A52508"/>
    <w:rsid w:val="00A54CD6"/>
    <w:rsid w:val="00A55296"/>
    <w:rsid w:val="00A55D0B"/>
    <w:rsid w:val="00A56F97"/>
    <w:rsid w:val="00A611D4"/>
    <w:rsid w:val="00A663FD"/>
    <w:rsid w:val="00A677B2"/>
    <w:rsid w:val="00A71691"/>
    <w:rsid w:val="00A718F3"/>
    <w:rsid w:val="00A724F4"/>
    <w:rsid w:val="00A72713"/>
    <w:rsid w:val="00A7330E"/>
    <w:rsid w:val="00A7406A"/>
    <w:rsid w:val="00A757F2"/>
    <w:rsid w:val="00A76E8F"/>
    <w:rsid w:val="00A7775F"/>
    <w:rsid w:val="00A81391"/>
    <w:rsid w:val="00A82873"/>
    <w:rsid w:val="00A85067"/>
    <w:rsid w:val="00A857C0"/>
    <w:rsid w:val="00A85D7B"/>
    <w:rsid w:val="00A91FD9"/>
    <w:rsid w:val="00A9226E"/>
    <w:rsid w:val="00A92E5F"/>
    <w:rsid w:val="00A95B53"/>
    <w:rsid w:val="00AA18E0"/>
    <w:rsid w:val="00AA2A8A"/>
    <w:rsid w:val="00AA7F65"/>
    <w:rsid w:val="00AB0F9C"/>
    <w:rsid w:val="00AB1223"/>
    <w:rsid w:val="00AB150A"/>
    <w:rsid w:val="00AB20ED"/>
    <w:rsid w:val="00AB2366"/>
    <w:rsid w:val="00AB2A06"/>
    <w:rsid w:val="00AB6072"/>
    <w:rsid w:val="00AC0DCB"/>
    <w:rsid w:val="00AC32B8"/>
    <w:rsid w:val="00AC334A"/>
    <w:rsid w:val="00AC35E5"/>
    <w:rsid w:val="00AC4F22"/>
    <w:rsid w:val="00AC5143"/>
    <w:rsid w:val="00AC7C45"/>
    <w:rsid w:val="00AD11D5"/>
    <w:rsid w:val="00AD3381"/>
    <w:rsid w:val="00AD42F5"/>
    <w:rsid w:val="00AD4BF8"/>
    <w:rsid w:val="00AD65F3"/>
    <w:rsid w:val="00AE0EA3"/>
    <w:rsid w:val="00AE1D00"/>
    <w:rsid w:val="00AE476C"/>
    <w:rsid w:val="00AE4DAA"/>
    <w:rsid w:val="00AE7546"/>
    <w:rsid w:val="00AF097E"/>
    <w:rsid w:val="00AF118D"/>
    <w:rsid w:val="00AF14D7"/>
    <w:rsid w:val="00AF3BAE"/>
    <w:rsid w:val="00AF4EB9"/>
    <w:rsid w:val="00AF5575"/>
    <w:rsid w:val="00AF621E"/>
    <w:rsid w:val="00AF701A"/>
    <w:rsid w:val="00B0125A"/>
    <w:rsid w:val="00B02473"/>
    <w:rsid w:val="00B0404C"/>
    <w:rsid w:val="00B04082"/>
    <w:rsid w:val="00B06D65"/>
    <w:rsid w:val="00B07A5B"/>
    <w:rsid w:val="00B07DDA"/>
    <w:rsid w:val="00B136A1"/>
    <w:rsid w:val="00B14600"/>
    <w:rsid w:val="00B146A6"/>
    <w:rsid w:val="00B15189"/>
    <w:rsid w:val="00B15925"/>
    <w:rsid w:val="00B16FF1"/>
    <w:rsid w:val="00B17538"/>
    <w:rsid w:val="00B210C7"/>
    <w:rsid w:val="00B21F40"/>
    <w:rsid w:val="00B22753"/>
    <w:rsid w:val="00B22A62"/>
    <w:rsid w:val="00B2364C"/>
    <w:rsid w:val="00B25CF4"/>
    <w:rsid w:val="00B301E0"/>
    <w:rsid w:val="00B302DD"/>
    <w:rsid w:val="00B3463C"/>
    <w:rsid w:val="00B347F1"/>
    <w:rsid w:val="00B34B9F"/>
    <w:rsid w:val="00B34DDB"/>
    <w:rsid w:val="00B35C14"/>
    <w:rsid w:val="00B420EF"/>
    <w:rsid w:val="00B43CA5"/>
    <w:rsid w:val="00B4420C"/>
    <w:rsid w:val="00B443C3"/>
    <w:rsid w:val="00B46D9A"/>
    <w:rsid w:val="00B52CD2"/>
    <w:rsid w:val="00B5496A"/>
    <w:rsid w:val="00B57229"/>
    <w:rsid w:val="00B577A0"/>
    <w:rsid w:val="00B57F70"/>
    <w:rsid w:val="00B604FD"/>
    <w:rsid w:val="00B6073D"/>
    <w:rsid w:val="00B63189"/>
    <w:rsid w:val="00B6681F"/>
    <w:rsid w:val="00B668C8"/>
    <w:rsid w:val="00B71B4B"/>
    <w:rsid w:val="00B74C6C"/>
    <w:rsid w:val="00B75350"/>
    <w:rsid w:val="00B75B22"/>
    <w:rsid w:val="00B76985"/>
    <w:rsid w:val="00B76A92"/>
    <w:rsid w:val="00B777F6"/>
    <w:rsid w:val="00B820CE"/>
    <w:rsid w:val="00B82131"/>
    <w:rsid w:val="00B829B5"/>
    <w:rsid w:val="00B8319F"/>
    <w:rsid w:val="00B834EE"/>
    <w:rsid w:val="00B835B4"/>
    <w:rsid w:val="00B858C4"/>
    <w:rsid w:val="00B85D31"/>
    <w:rsid w:val="00B900A2"/>
    <w:rsid w:val="00B90F57"/>
    <w:rsid w:val="00B92817"/>
    <w:rsid w:val="00B944B6"/>
    <w:rsid w:val="00B97080"/>
    <w:rsid w:val="00BA1ECC"/>
    <w:rsid w:val="00BA231B"/>
    <w:rsid w:val="00BA2899"/>
    <w:rsid w:val="00BA3C88"/>
    <w:rsid w:val="00BB024F"/>
    <w:rsid w:val="00BB03F6"/>
    <w:rsid w:val="00BB13C2"/>
    <w:rsid w:val="00BB4639"/>
    <w:rsid w:val="00BB46EF"/>
    <w:rsid w:val="00BC0ABF"/>
    <w:rsid w:val="00BC1B29"/>
    <w:rsid w:val="00BC1E6C"/>
    <w:rsid w:val="00BC3FF4"/>
    <w:rsid w:val="00BC43C4"/>
    <w:rsid w:val="00BC56C2"/>
    <w:rsid w:val="00BC5FC5"/>
    <w:rsid w:val="00BC67A8"/>
    <w:rsid w:val="00BD613F"/>
    <w:rsid w:val="00BD62EB"/>
    <w:rsid w:val="00BE17FF"/>
    <w:rsid w:val="00BE1DE5"/>
    <w:rsid w:val="00BE66C8"/>
    <w:rsid w:val="00BE6766"/>
    <w:rsid w:val="00BE699C"/>
    <w:rsid w:val="00BF251A"/>
    <w:rsid w:val="00BF5F87"/>
    <w:rsid w:val="00C0015D"/>
    <w:rsid w:val="00C002BE"/>
    <w:rsid w:val="00C05CC9"/>
    <w:rsid w:val="00C0679D"/>
    <w:rsid w:val="00C101E0"/>
    <w:rsid w:val="00C128A5"/>
    <w:rsid w:val="00C13880"/>
    <w:rsid w:val="00C14C33"/>
    <w:rsid w:val="00C14C8C"/>
    <w:rsid w:val="00C1602B"/>
    <w:rsid w:val="00C169DB"/>
    <w:rsid w:val="00C173B7"/>
    <w:rsid w:val="00C214C6"/>
    <w:rsid w:val="00C21751"/>
    <w:rsid w:val="00C23744"/>
    <w:rsid w:val="00C25151"/>
    <w:rsid w:val="00C27196"/>
    <w:rsid w:val="00C31262"/>
    <w:rsid w:val="00C33532"/>
    <w:rsid w:val="00C34829"/>
    <w:rsid w:val="00C34DFB"/>
    <w:rsid w:val="00C40B07"/>
    <w:rsid w:val="00C42467"/>
    <w:rsid w:val="00C42A24"/>
    <w:rsid w:val="00C42B6E"/>
    <w:rsid w:val="00C43D07"/>
    <w:rsid w:val="00C44B8B"/>
    <w:rsid w:val="00C47601"/>
    <w:rsid w:val="00C47E6F"/>
    <w:rsid w:val="00C5303F"/>
    <w:rsid w:val="00C546C1"/>
    <w:rsid w:val="00C554DF"/>
    <w:rsid w:val="00C5582C"/>
    <w:rsid w:val="00C561A4"/>
    <w:rsid w:val="00C60321"/>
    <w:rsid w:val="00C60A66"/>
    <w:rsid w:val="00C60BD8"/>
    <w:rsid w:val="00C631B7"/>
    <w:rsid w:val="00C63CF1"/>
    <w:rsid w:val="00C6490D"/>
    <w:rsid w:val="00C65359"/>
    <w:rsid w:val="00C657D5"/>
    <w:rsid w:val="00C66804"/>
    <w:rsid w:val="00C66DC0"/>
    <w:rsid w:val="00C7142A"/>
    <w:rsid w:val="00C7163F"/>
    <w:rsid w:val="00C71F20"/>
    <w:rsid w:val="00C72072"/>
    <w:rsid w:val="00C72B69"/>
    <w:rsid w:val="00C74CC8"/>
    <w:rsid w:val="00C8132B"/>
    <w:rsid w:val="00C833A4"/>
    <w:rsid w:val="00C8378C"/>
    <w:rsid w:val="00C839DC"/>
    <w:rsid w:val="00C848B8"/>
    <w:rsid w:val="00C869E9"/>
    <w:rsid w:val="00C917D3"/>
    <w:rsid w:val="00C91C65"/>
    <w:rsid w:val="00C92024"/>
    <w:rsid w:val="00C921B2"/>
    <w:rsid w:val="00C9430A"/>
    <w:rsid w:val="00C955A9"/>
    <w:rsid w:val="00C964D1"/>
    <w:rsid w:val="00C973B3"/>
    <w:rsid w:val="00C974CF"/>
    <w:rsid w:val="00CA0426"/>
    <w:rsid w:val="00CA3C06"/>
    <w:rsid w:val="00CA3D52"/>
    <w:rsid w:val="00CA4FE2"/>
    <w:rsid w:val="00CA538D"/>
    <w:rsid w:val="00CB2BD4"/>
    <w:rsid w:val="00CB2F96"/>
    <w:rsid w:val="00CB4568"/>
    <w:rsid w:val="00CB67F6"/>
    <w:rsid w:val="00CB69BD"/>
    <w:rsid w:val="00CC1407"/>
    <w:rsid w:val="00CC14A3"/>
    <w:rsid w:val="00CC1C01"/>
    <w:rsid w:val="00CC2412"/>
    <w:rsid w:val="00CC430A"/>
    <w:rsid w:val="00CC4D9C"/>
    <w:rsid w:val="00CC5CE5"/>
    <w:rsid w:val="00CC5ED2"/>
    <w:rsid w:val="00CC67E4"/>
    <w:rsid w:val="00CD2DD0"/>
    <w:rsid w:val="00CD7168"/>
    <w:rsid w:val="00CD774D"/>
    <w:rsid w:val="00CD7914"/>
    <w:rsid w:val="00CE0955"/>
    <w:rsid w:val="00CE4EC8"/>
    <w:rsid w:val="00CE5E16"/>
    <w:rsid w:val="00CE7706"/>
    <w:rsid w:val="00CE79E1"/>
    <w:rsid w:val="00CF1FB4"/>
    <w:rsid w:val="00CF33D5"/>
    <w:rsid w:val="00CF36E8"/>
    <w:rsid w:val="00CF55E2"/>
    <w:rsid w:val="00CF6EB5"/>
    <w:rsid w:val="00D001E3"/>
    <w:rsid w:val="00D00FFE"/>
    <w:rsid w:val="00D03702"/>
    <w:rsid w:val="00D04B97"/>
    <w:rsid w:val="00D067F2"/>
    <w:rsid w:val="00D06BB2"/>
    <w:rsid w:val="00D07FD2"/>
    <w:rsid w:val="00D13149"/>
    <w:rsid w:val="00D13BC0"/>
    <w:rsid w:val="00D13F84"/>
    <w:rsid w:val="00D2431E"/>
    <w:rsid w:val="00D24B2B"/>
    <w:rsid w:val="00D27F3A"/>
    <w:rsid w:val="00D30D37"/>
    <w:rsid w:val="00D33484"/>
    <w:rsid w:val="00D34AA9"/>
    <w:rsid w:val="00D3678C"/>
    <w:rsid w:val="00D36905"/>
    <w:rsid w:val="00D36EEC"/>
    <w:rsid w:val="00D40A1F"/>
    <w:rsid w:val="00D40A2A"/>
    <w:rsid w:val="00D41DE1"/>
    <w:rsid w:val="00D4203D"/>
    <w:rsid w:val="00D4735E"/>
    <w:rsid w:val="00D475EA"/>
    <w:rsid w:val="00D511EE"/>
    <w:rsid w:val="00D51AEF"/>
    <w:rsid w:val="00D53BFC"/>
    <w:rsid w:val="00D54826"/>
    <w:rsid w:val="00D61CF0"/>
    <w:rsid w:val="00D627CE"/>
    <w:rsid w:val="00D63EA3"/>
    <w:rsid w:val="00D6417F"/>
    <w:rsid w:val="00D6456D"/>
    <w:rsid w:val="00D66422"/>
    <w:rsid w:val="00D66A0B"/>
    <w:rsid w:val="00D67A96"/>
    <w:rsid w:val="00D7019D"/>
    <w:rsid w:val="00D713A7"/>
    <w:rsid w:val="00D71596"/>
    <w:rsid w:val="00D73FBE"/>
    <w:rsid w:val="00D74D52"/>
    <w:rsid w:val="00D76206"/>
    <w:rsid w:val="00D76D2C"/>
    <w:rsid w:val="00D77F7E"/>
    <w:rsid w:val="00D77FAE"/>
    <w:rsid w:val="00D8176C"/>
    <w:rsid w:val="00D82203"/>
    <w:rsid w:val="00D82A0C"/>
    <w:rsid w:val="00D846E7"/>
    <w:rsid w:val="00D8752D"/>
    <w:rsid w:val="00D91385"/>
    <w:rsid w:val="00D91E8B"/>
    <w:rsid w:val="00D926F3"/>
    <w:rsid w:val="00D92E6C"/>
    <w:rsid w:val="00D93D82"/>
    <w:rsid w:val="00D943EF"/>
    <w:rsid w:val="00D9564A"/>
    <w:rsid w:val="00D95AAE"/>
    <w:rsid w:val="00DA401F"/>
    <w:rsid w:val="00DA4F15"/>
    <w:rsid w:val="00DA6AAE"/>
    <w:rsid w:val="00DA7B7C"/>
    <w:rsid w:val="00DB084F"/>
    <w:rsid w:val="00DB0E79"/>
    <w:rsid w:val="00DB135E"/>
    <w:rsid w:val="00DB3A1E"/>
    <w:rsid w:val="00DB3B6D"/>
    <w:rsid w:val="00DB6B35"/>
    <w:rsid w:val="00DC0B26"/>
    <w:rsid w:val="00DC1894"/>
    <w:rsid w:val="00DC44F2"/>
    <w:rsid w:val="00DC6A1F"/>
    <w:rsid w:val="00DC76FC"/>
    <w:rsid w:val="00DC7AD9"/>
    <w:rsid w:val="00DD1677"/>
    <w:rsid w:val="00DD3C65"/>
    <w:rsid w:val="00DD4AC4"/>
    <w:rsid w:val="00DD53D9"/>
    <w:rsid w:val="00DD6611"/>
    <w:rsid w:val="00DD6C79"/>
    <w:rsid w:val="00DD76F2"/>
    <w:rsid w:val="00DE043C"/>
    <w:rsid w:val="00DE0E58"/>
    <w:rsid w:val="00DE1D57"/>
    <w:rsid w:val="00DE2CFE"/>
    <w:rsid w:val="00DE2EA3"/>
    <w:rsid w:val="00DE336B"/>
    <w:rsid w:val="00DE3B42"/>
    <w:rsid w:val="00DE5B0F"/>
    <w:rsid w:val="00DE71B9"/>
    <w:rsid w:val="00DF1659"/>
    <w:rsid w:val="00DF3F05"/>
    <w:rsid w:val="00DF4D19"/>
    <w:rsid w:val="00DF7E8A"/>
    <w:rsid w:val="00E018B8"/>
    <w:rsid w:val="00E01C25"/>
    <w:rsid w:val="00E03F8F"/>
    <w:rsid w:val="00E0429F"/>
    <w:rsid w:val="00E06749"/>
    <w:rsid w:val="00E069E8"/>
    <w:rsid w:val="00E11530"/>
    <w:rsid w:val="00E12260"/>
    <w:rsid w:val="00E1276A"/>
    <w:rsid w:val="00E12B39"/>
    <w:rsid w:val="00E1334F"/>
    <w:rsid w:val="00E13B99"/>
    <w:rsid w:val="00E13DAA"/>
    <w:rsid w:val="00E1487A"/>
    <w:rsid w:val="00E204E3"/>
    <w:rsid w:val="00E24F67"/>
    <w:rsid w:val="00E26084"/>
    <w:rsid w:val="00E30993"/>
    <w:rsid w:val="00E36041"/>
    <w:rsid w:val="00E42150"/>
    <w:rsid w:val="00E42423"/>
    <w:rsid w:val="00E42E56"/>
    <w:rsid w:val="00E43F49"/>
    <w:rsid w:val="00E46380"/>
    <w:rsid w:val="00E46C59"/>
    <w:rsid w:val="00E50095"/>
    <w:rsid w:val="00E503DE"/>
    <w:rsid w:val="00E52F80"/>
    <w:rsid w:val="00E5436E"/>
    <w:rsid w:val="00E54462"/>
    <w:rsid w:val="00E5525F"/>
    <w:rsid w:val="00E5674F"/>
    <w:rsid w:val="00E56C67"/>
    <w:rsid w:val="00E61376"/>
    <w:rsid w:val="00E63B09"/>
    <w:rsid w:val="00E65B41"/>
    <w:rsid w:val="00E65DEF"/>
    <w:rsid w:val="00E660F8"/>
    <w:rsid w:val="00E663A2"/>
    <w:rsid w:val="00E70518"/>
    <w:rsid w:val="00E729B8"/>
    <w:rsid w:val="00E72EF4"/>
    <w:rsid w:val="00E73AAB"/>
    <w:rsid w:val="00E75021"/>
    <w:rsid w:val="00E76369"/>
    <w:rsid w:val="00E8006E"/>
    <w:rsid w:val="00E801F3"/>
    <w:rsid w:val="00E801F6"/>
    <w:rsid w:val="00E83711"/>
    <w:rsid w:val="00E86BB8"/>
    <w:rsid w:val="00E91773"/>
    <w:rsid w:val="00E91BB0"/>
    <w:rsid w:val="00E94F22"/>
    <w:rsid w:val="00E966C5"/>
    <w:rsid w:val="00E96FBB"/>
    <w:rsid w:val="00EA04EE"/>
    <w:rsid w:val="00EA1932"/>
    <w:rsid w:val="00EA1E40"/>
    <w:rsid w:val="00EA3A78"/>
    <w:rsid w:val="00EA4E6C"/>
    <w:rsid w:val="00EA54E2"/>
    <w:rsid w:val="00EA5BB0"/>
    <w:rsid w:val="00EA6161"/>
    <w:rsid w:val="00EA6D28"/>
    <w:rsid w:val="00EB1EBF"/>
    <w:rsid w:val="00EB2567"/>
    <w:rsid w:val="00EB3E05"/>
    <w:rsid w:val="00EC17BA"/>
    <w:rsid w:val="00EC2929"/>
    <w:rsid w:val="00EC301A"/>
    <w:rsid w:val="00EC329D"/>
    <w:rsid w:val="00EC5D1D"/>
    <w:rsid w:val="00EC6720"/>
    <w:rsid w:val="00EC6C4A"/>
    <w:rsid w:val="00ED04E8"/>
    <w:rsid w:val="00ED08B2"/>
    <w:rsid w:val="00ED0D99"/>
    <w:rsid w:val="00ED126D"/>
    <w:rsid w:val="00EE130E"/>
    <w:rsid w:val="00EE16B3"/>
    <w:rsid w:val="00EE29EC"/>
    <w:rsid w:val="00EE3778"/>
    <w:rsid w:val="00EE47C7"/>
    <w:rsid w:val="00EE5B99"/>
    <w:rsid w:val="00EF176F"/>
    <w:rsid w:val="00EF1E11"/>
    <w:rsid w:val="00EF249E"/>
    <w:rsid w:val="00EF2B5E"/>
    <w:rsid w:val="00F00897"/>
    <w:rsid w:val="00F04746"/>
    <w:rsid w:val="00F04BAF"/>
    <w:rsid w:val="00F067E2"/>
    <w:rsid w:val="00F06F31"/>
    <w:rsid w:val="00F074B7"/>
    <w:rsid w:val="00F10E22"/>
    <w:rsid w:val="00F12FFD"/>
    <w:rsid w:val="00F13ED6"/>
    <w:rsid w:val="00F14F94"/>
    <w:rsid w:val="00F15786"/>
    <w:rsid w:val="00F16453"/>
    <w:rsid w:val="00F20CF9"/>
    <w:rsid w:val="00F217CB"/>
    <w:rsid w:val="00F21BE5"/>
    <w:rsid w:val="00F230D7"/>
    <w:rsid w:val="00F23558"/>
    <w:rsid w:val="00F24246"/>
    <w:rsid w:val="00F2531E"/>
    <w:rsid w:val="00F279CA"/>
    <w:rsid w:val="00F318E7"/>
    <w:rsid w:val="00F33129"/>
    <w:rsid w:val="00F36BF2"/>
    <w:rsid w:val="00F4016E"/>
    <w:rsid w:val="00F41F59"/>
    <w:rsid w:val="00F41FB0"/>
    <w:rsid w:val="00F42055"/>
    <w:rsid w:val="00F4328E"/>
    <w:rsid w:val="00F44FEF"/>
    <w:rsid w:val="00F451B3"/>
    <w:rsid w:val="00F45EBD"/>
    <w:rsid w:val="00F46354"/>
    <w:rsid w:val="00F469C1"/>
    <w:rsid w:val="00F46E0A"/>
    <w:rsid w:val="00F471C5"/>
    <w:rsid w:val="00F50F4B"/>
    <w:rsid w:val="00F50F5A"/>
    <w:rsid w:val="00F5242E"/>
    <w:rsid w:val="00F53675"/>
    <w:rsid w:val="00F545B7"/>
    <w:rsid w:val="00F60776"/>
    <w:rsid w:val="00F612B5"/>
    <w:rsid w:val="00F649F4"/>
    <w:rsid w:val="00F661AE"/>
    <w:rsid w:val="00F66366"/>
    <w:rsid w:val="00F6708B"/>
    <w:rsid w:val="00F67FA6"/>
    <w:rsid w:val="00F73BDF"/>
    <w:rsid w:val="00F75B14"/>
    <w:rsid w:val="00F76112"/>
    <w:rsid w:val="00F76DB1"/>
    <w:rsid w:val="00F77D23"/>
    <w:rsid w:val="00F81E97"/>
    <w:rsid w:val="00F82F48"/>
    <w:rsid w:val="00F84EC7"/>
    <w:rsid w:val="00F86DE9"/>
    <w:rsid w:val="00F86E79"/>
    <w:rsid w:val="00F9181A"/>
    <w:rsid w:val="00F92058"/>
    <w:rsid w:val="00F93FFD"/>
    <w:rsid w:val="00F94188"/>
    <w:rsid w:val="00F956F1"/>
    <w:rsid w:val="00F959F2"/>
    <w:rsid w:val="00FA4816"/>
    <w:rsid w:val="00FA5ED6"/>
    <w:rsid w:val="00FA6A91"/>
    <w:rsid w:val="00FA726F"/>
    <w:rsid w:val="00FA7A57"/>
    <w:rsid w:val="00FB03F4"/>
    <w:rsid w:val="00FB15E6"/>
    <w:rsid w:val="00FB191A"/>
    <w:rsid w:val="00FB1966"/>
    <w:rsid w:val="00FB1EB9"/>
    <w:rsid w:val="00FB65E0"/>
    <w:rsid w:val="00FC02E7"/>
    <w:rsid w:val="00FC4180"/>
    <w:rsid w:val="00FC5750"/>
    <w:rsid w:val="00FC6B02"/>
    <w:rsid w:val="00FC7DCA"/>
    <w:rsid w:val="00FC7FF5"/>
    <w:rsid w:val="00FD17FC"/>
    <w:rsid w:val="00FD5052"/>
    <w:rsid w:val="00FD5959"/>
    <w:rsid w:val="00FD5B4C"/>
    <w:rsid w:val="00FD743B"/>
    <w:rsid w:val="00FD75A1"/>
    <w:rsid w:val="00FE1316"/>
    <w:rsid w:val="00FE254B"/>
    <w:rsid w:val="00FE29E3"/>
    <w:rsid w:val="00FE42C1"/>
    <w:rsid w:val="00FE45BC"/>
    <w:rsid w:val="00FE76BE"/>
    <w:rsid w:val="00FF0C0E"/>
    <w:rsid w:val="00FF34D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B308B-EB88-41BF-8A4F-CE594019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C3"/>
    <w:rPr>
      <w:sz w:val="28"/>
      <w:szCs w:val="24"/>
      <w:lang w:val="uk-UA"/>
    </w:rPr>
  </w:style>
  <w:style w:type="paragraph" w:styleId="1">
    <w:name w:val="heading 1"/>
    <w:basedOn w:val="a"/>
    <w:next w:val="a"/>
    <w:qFormat/>
    <w:rsid w:val="005839C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39C3"/>
    <w:pPr>
      <w:tabs>
        <w:tab w:val="center" w:pos="4153"/>
        <w:tab w:val="right" w:pos="8306"/>
      </w:tabs>
    </w:pPr>
  </w:style>
  <w:style w:type="paragraph" w:styleId="a4">
    <w:name w:val="footer"/>
    <w:basedOn w:val="a"/>
    <w:rsid w:val="005839C3"/>
    <w:pPr>
      <w:tabs>
        <w:tab w:val="center" w:pos="4153"/>
        <w:tab w:val="right" w:pos="8306"/>
      </w:tabs>
    </w:pPr>
  </w:style>
  <w:style w:type="paragraph" w:styleId="a5">
    <w:name w:val="Body Text"/>
    <w:basedOn w:val="a"/>
    <w:link w:val="a6"/>
    <w:rsid w:val="005839C3"/>
    <w:pPr>
      <w:jc w:val="both"/>
    </w:pPr>
  </w:style>
  <w:style w:type="paragraph" w:styleId="a7">
    <w:name w:val="Title"/>
    <w:basedOn w:val="a"/>
    <w:qFormat/>
    <w:rsid w:val="005839C3"/>
    <w:pPr>
      <w:jc w:val="center"/>
    </w:pPr>
    <w:rPr>
      <w:b/>
      <w:bCs/>
    </w:rPr>
  </w:style>
  <w:style w:type="character" w:styleId="a8">
    <w:name w:val="page number"/>
    <w:basedOn w:val="a0"/>
    <w:rsid w:val="005839C3"/>
  </w:style>
  <w:style w:type="paragraph" w:styleId="a9">
    <w:name w:val="Balloon Text"/>
    <w:basedOn w:val="a"/>
    <w:semiHidden/>
    <w:rsid w:val="00BC67A8"/>
    <w:rPr>
      <w:rFonts w:ascii="Tahoma" w:hAnsi="Tahoma" w:cs="Tahoma"/>
      <w:sz w:val="16"/>
      <w:szCs w:val="16"/>
    </w:rPr>
  </w:style>
  <w:style w:type="character" w:customStyle="1" w:styleId="FontStyle">
    <w:name w:val="Font Style"/>
    <w:rsid w:val="00BC67A8"/>
    <w:rPr>
      <w:rFonts w:cs="Courier New"/>
      <w:color w:val="000000"/>
      <w:sz w:val="20"/>
      <w:szCs w:val="20"/>
    </w:rPr>
  </w:style>
  <w:style w:type="character" w:customStyle="1" w:styleId="a6">
    <w:name w:val="Основной текст Знак"/>
    <w:link w:val="a5"/>
    <w:rsid w:val="004F75CA"/>
    <w:rPr>
      <w:sz w:val="28"/>
      <w:szCs w:val="24"/>
      <w:lang w:val="uk-UA"/>
    </w:rPr>
  </w:style>
  <w:style w:type="paragraph" w:styleId="aa">
    <w:name w:val="Normal (Web)"/>
    <w:basedOn w:val="a"/>
    <w:uiPriority w:val="99"/>
    <w:semiHidden/>
    <w:unhideWhenUsed/>
    <w:rsid w:val="002331F7"/>
    <w:pPr>
      <w:spacing w:before="100" w:beforeAutospacing="1" w:after="100" w:afterAutospacing="1"/>
    </w:pPr>
    <w:rPr>
      <w:rFonts w:eastAsiaTheme="minorEastAsia"/>
      <w:sz w:val="24"/>
      <w:lang w:val="ru-RU"/>
    </w:rPr>
  </w:style>
  <w:style w:type="paragraph" w:styleId="ab">
    <w:name w:val="caption"/>
    <w:basedOn w:val="a"/>
    <w:next w:val="a"/>
    <w:unhideWhenUsed/>
    <w:qFormat/>
    <w:rsid w:val="00D82A0C"/>
    <w:pPr>
      <w:spacing w:after="200"/>
    </w:pPr>
    <w:rPr>
      <w:i/>
      <w:iCs/>
      <w:color w:val="1F497D" w:themeColor="text2"/>
      <w:sz w:val="18"/>
      <w:szCs w:val="18"/>
    </w:rPr>
  </w:style>
  <w:style w:type="paragraph" w:styleId="ac">
    <w:name w:val="List Paragraph"/>
    <w:basedOn w:val="a"/>
    <w:uiPriority w:val="34"/>
    <w:qFormat/>
    <w:rsid w:val="00301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626">
      <w:bodyDiv w:val="1"/>
      <w:marLeft w:val="0"/>
      <w:marRight w:val="0"/>
      <w:marTop w:val="0"/>
      <w:marBottom w:val="0"/>
      <w:divBdr>
        <w:top w:val="none" w:sz="0" w:space="0" w:color="auto"/>
        <w:left w:val="none" w:sz="0" w:space="0" w:color="auto"/>
        <w:bottom w:val="none" w:sz="0" w:space="0" w:color="auto"/>
        <w:right w:val="none" w:sz="0" w:space="0" w:color="auto"/>
      </w:divBdr>
    </w:div>
    <w:div w:id="494998143">
      <w:bodyDiv w:val="1"/>
      <w:marLeft w:val="0"/>
      <w:marRight w:val="0"/>
      <w:marTop w:val="0"/>
      <w:marBottom w:val="0"/>
      <w:divBdr>
        <w:top w:val="none" w:sz="0" w:space="0" w:color="auto"/>
        <w:left w:val="none" w:sz="0" w:space="0" w:color="auto"/>
        <w:bottom w:val="none" w:sz="0" w:space="0" w:color="auto"/>
        <w:right w:val="none" w:sz="0" w:space="0" w:color="auto"/>
      </w:divBdr>
    </w:div>
    <w:div w:id="637564263">
      <w:bodyDiv w:val="1"/>
      <w:marLeft w:val="0"/>
      <w:marRight w:val="0"/>
      <w:marTop w:val="0"/>
      <w:marBottom w:val="0"/>
      <w:divBdr>
        <w:top w:val="none" w:sz="0" w:space="0" w:color="auto"/>
        <w:left w:val="none" w:sz="0" w:space="0" w:color="auto"/>
        <w:bottom w:val="none" w:sz="0" w:space="0" w:color="auto"/>
        <w:right w:val="none" w:sz="0" w:space="0" w:color="auto"/>
      </w:divBdr>
    </w:div>
    <w:div w:id="657002429">
      <w:bodyDiv w:val="1"/>
      <w:marLeft w:val="0"/>
      <w:marRight w:val="0"/>
      <w:marTop w:val="0"/>
      <w:marBottom w:val="0"/>
      <w:divBdr>
        <w:top w:val="none" w:sz="0" w:space="0" w:color="auto"/>
        <w:left w:val="none" w:sz="0" w:space="0" w:color="auto"/>
        <w:bottom w:val="none" w:sz="0" w:space="0" w:color="auto"/>
        <w:right w:val="none" w:sz="0" w:space="0" w:color="auto"/>
      </w:divBdr>
    </w:div>
    <w:div w:id="836192301">
      <w:bodyDiv w:val="1"/>
      <w:marLeft w:val="0"/>
      <w:marRight w:val="0"/>
      <w:marTop w:val="0"/>
      <w:marBottom w:val="0"/>
      <w:divBdr>
        <w:top w:val="none" w:sz="0" w:space="0" w:color="auto"/>
        <w:left w:val="none" w:sz="0" w:space="0" w:color="auto"/>
        <w:bottom w:val="none" w:sz="0" w:space="0" w:color="auto"/>
        <w:right w:val="none" w:sz="0" w:space="0" w:color="auto"/>
      </w:divBdr>
    </w:div>
    <w:div w:id="837038628">
      <w:bodyDiv w:val="1"/>
      <w:marLeft w:val="0"/>
      <w:marRight w:val="0"/>
      <w:marTop w:val="0"/>
      <w:marBottom w:val="0"/>
      <w:divBdr>
        <w:top w:val="none" w:sz="0" w:space="0" w:color="auto"/>
        <w:left w:val="none" w:sz="0" w:space="0" w:color="auto"/>
        <w:bottom w:val="none" w:sz="0" w:space="0" w:color="auto"/>
        <w:right w:val="none" w:sz="0" w:space="0" w:color="auto"/>
      </w:divBdr>
    </w:div>
    <w:div w:id="1725374198">
      <w:bodyDiv w:val="1"/>
      <w:marLeft w:val="0"/>
      <w:marRight w:val="0"/>
      <w:marTop w:val="0"/>
      <w:marBottom w:val="0"/>
      <w:divBdr>
        <w:top w:val="none" w:sz="0" w:space="0" w:color="auto"/>
        <w:left w:val="none" w:sz="0" w:space="0" w:color="auto"/>
        <w:bottom w:val="none" w:sz="0" w:space="0" w:color="auto"/>
        <w:right w:val="none" w:sz="0" w:space="0" w:color="auto"/>
      </w:divBdr>
    </w:div>
    <w:div w:id="1900893421">
      <w:bodyDiv w:val="1"/>
      <w:marLeft w:val="0"/>
      <w:marRight w:val="0"/>
      <w:marTop w:val="0"/>
      <w:marBottom w:val="0"/>
      <w:divBdr>
        <w:top w:val="none" w:sz="0" w:space="0" w:color="auto"/>
        <w:left w:val="none" w:sz="0" w:space="0" w:color="auto"/>
        <w:bottom w:val="none" w:sz="0" w:space="0" w:color="auto"/>
        <w:right w:val="none" w:sz="0" w:space="0" w:color="auto"/>
      </w:divBdr>
    </w:div>
    <w:div w:id="19656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2021</c:v>
                </c:pt>
                <c:pt idx="1">
                  <c:v>2022</c:v>
                </c:pt>
              </c:numCache>
            </c:numRef>
          </c:cat>
          <c:val>
            <c:numRef>
              <c:f>Лист1!$B$2:$B$5</c:f>
              <c:numCache>
                <c:formatCode>General</c:formatCode>
                <c:ptCount val="4"/>
                <c:pt idx="0">
                  <c:v>4.3</c:v>
                </c:pt>
                <c:pt idx="1">
                  <c:v>2.5</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2021</c:v>
                </c:pt>
                <c:pt idx="1">
                  <c:v>2022</c:v>
                </c:pt>
              </c:numCache>
            </c:numRef>
          </c:cat>
          <c:val>
            <c:numRef>
              <c:f>Лист1!$C$2:$C$5</c:f>
              <c:numCache>
                <c:formatCode>General</c:formatCode>
                <c:ptCount val="4"/>
                <c:pt idx="0">
                  <c:v>1682</c:v>
                </c:pt>
                <c:pt idx="1">
                  <c:v>1618</c:v>
                </c:pt>
              </c:numCache>
            </c:numRef>
          </c:val>
        </c:ser>
        <c:ser>
          <c:idx val="2"/>
          <c:order val="2"/>
          <c:tx>
            <c:strRef>
              <c:f>Лист1!$D$1</c:f>
              <c:strCache>
                <c:ptCount val="1"/>
                <c:pt idx="0">
                  <c:v>Столбец1</c:v>
                </c:pt>
              </c:strCache>
            </c:strRef>
          </c:tx>
          <c:invertIfNegative val="0"/>
          <c:cat>
            <c:numRef>
              <c:f>Лист1!$A$2:$A$5</c:f>
              <c:numCache>
                <c:formatCode>General</c:formatCode>
                <c:ptCount val="4"/>
                <c:pt idx="0">
                  <c:v>2021</c:v>
                </c:pt>
                <c:pt idx="1">
                  <c:v>2022</c:v>
                </c:pt>
              </c:numCache>
            </c:numRef>
          </c:cat>
          <c:val>
            <c:numRef>
              <c:f>Лист1!$D$2:$D$5</c:f>
            </c:numRef>
          </c:val>
        </c:ser>
        <c:dLbls>
          <c:showLegendKey val="0"/>
          <c:showVal val="0"/>
          <c:showCatName val="0"/>
          <c:showSerName val="0"/>
          <c:showPercent val="0"/>
          <c:showBubbleSize val="0"/>
        </c:dLbls>
        <c:gapWidth val="150"/>
        <c:shape val="cylinder"/>
        <c:axId val="418553416"/>
        <c:axId val="418548712"/>
        <c:axId val="0"/>
      </c:bar3DChart>
      <c:catAx>
        <c:axId val="418553416"/>
        <c:scaling>
          <c:orientation val="minMax"/>
        </c:scaling>
        <c:delete val="0"/>
        <c:axPos val="l"/>
        <c:numFmt formatCode="General" sourceLinked="1"/>
        <c:majorTickMark val="out"/>
        <c:minorTickMark val="none"/>
        <c:tickLblPos val="nextTo"/>
        <c:crossAx val="418548712"/>
        <c:crosses val="autoZero"/>
        <c:auto val="1"/>
        <c:lblAlgn val="ctr"/>
        <c:lblOffset val="100"/>
        <c:noMultiLvlLbl val="0"/>
      </c:catAx>
      <c:valAx>
        <c:axId val="418548712"/>
        <c:scaling>
          <c:orientation val="minMax"/>
        </c:scaling>
        <c:delete val="0"/>
        <c:axPos val="b"/>
        <c:majorGridlines/>
        <c:numFmt formatCode="General" sourceLinked="1"/>
        <c:majorTickMark val="out"/>
        <c:minorTickMark val="none"/>
        <c:tickLblPos val="nextTo"/>
        <c:crossAx val="41855341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chemeClr val="tx2">
                    <a:lumMod val="60000"/>
                    <a:lumOff val="40000"/>
                  </a:schemeClr>
                </a:solidFill>
              </a:rPr>
              <a:t>Класифікація злочинів за тяжкістю</a:t>
            </a:r>
          </a:p>
        </c:rich>
      </c:tx>
      <c:layout>
        <c:manualLayout>
          <c:xMode val="edge"/>
          <c:yMode val="edge"/>
          <c:x val="0.25689231554389036"/>
          <c:y val="2.777777777777777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Pt>
            <c:idx val="0"/>
            <c:invertIfNegative val="0"/>
            <c:bubble3D val="0"/>
            <c:spPr>
              <a:solidFill>
                <a:srgbClr val="00B050"/>
              </a:solidFill>
              <a:ln>
                <a:noFill/>
              </a:ln>
              <a:effectLst/>
              <a:sp3d/>
            </c:spPr>
          </c:dPt>
          <c:dPt>
            <c:idx val="1"/>
            <c:invertIfNegative val="0"/>
            <c:bubble3D val="0"/>
            <c:spPr>
              <a:solidFill>
                <a:schemeClr val="accent6">
                  <a:lumMod val="75000"/>
                </a:schemeClr>
              </a:solidFill>
              <a:ln>
                <a:noFill/>
              </a:ln>
              <a:effectLst/>
              <a:sp3d/>
            </c:spPr>
          </c:dPt>
          <c:dPt>
            <c:idx val="3"/>
            <c:invertIfNegative val="0"/>
            <c:bubble3D val="0"/>
            <c:spPr>
              <a:solidFill>
                <a:srgbClr val="FF0000"/>
              </a:solidFill>
              <a:ln>
                <a:noFill/>
              </a:ln>
              <a:effectLst/>
              <a:sp3d/>
            </c:spPr>
          </c:dPt>
          <c:dLbls>
            <c:dLbl>
              <c:idx val="0"/>
              <c:layout>
                <c:manualLayout>
                  <c:x val="0.29398148148148168"/>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740740740740741"/>
                  <c:y val="-7.275048233154282E-17"/>
                </c:manualLayout>
              </c:layout>
              <c:tx>
                <c:rich>
                  <a:bodyPr/>
                  <a:lstStyle/>
                  <a:p>
                    <a:r>
                      <a:rPr lang="en-US"/>
                      <a:t>26,25%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3425925925925927"/>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92592592592584E-2"/>
                  <c:y val="-7.2750482331542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злочини невеликої тяжкості (кримінальні проступки)</c:v>
                </c:pt>
                <c:pt idx="1">
                  <c:v>злочини середньої тяжкості</c:v>
                </c:pt>
                <c:pt idx="2">
                  <c:v>тяжкі злочини</c:v>
                </c:pt>
              </c:strCache>
            </c:strRef>
          </c:cat>
          <c:val>
            <c:numRef>
              <c:f>Лист1!$B$2:$B$6</c:f>
              <c:numCache>
                <c:formatCode>0%</c:formatCode>
                <c:ptCount val="5"/>
                <c:pt idx="0" formatCode="0.00%">
                  <c:v>0.58750000000000002</c:v>
                </c:pt>
                <c:pt idx="1">
                  <c:v>0.26250000000000001</c:v>
                </c:pt>
                <c:pt idx="2">
                  <c:v>0.15</c:v>
                </c:pt>
              </c:numCache>
            </c:numRef>
          </c:val>
        </c:ser>
        <c:dLbls>
          <c:showLegendKey val="0"/>
          <c:showVal val="0"/>
          <c:showCatName val="0"/>
          <c:showSerName val="0"/>
          <c:showPercent val="0"/>
          <c:showBubbleSize val="0"/>
        </c:dLbls>
        <c:gapWidth val="150"/>
        <c:shape val="box"/>
        <c:axId val="418526760"/>
        <c:axId val="418529896"/>
        <c:axId val="0"/>
      </c:bar3DChart>
      <c:catAx>
        <c:axId val="418526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529896"/>
        <c:crosses val="autoZero"/>
        <c:auto val="1"/>
        <c:lblAlgn val="ctr"/>
        <c:lblOffset val="100"/>
        <c:noMultiLvlLbl val="0"/>
      </c:catAx>
      <c:valAx>
        <c:axId val="418529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526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solidFill>
                  <a:schemeClr val="tx2"/>
                </a:solidFill>
              </a:rPr>
              <a:t>Основні міри покарання у 2022 році</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0098571011956837"/>
          <c:y val="0.16656761654793151"/>
          <c:w val="0.65048993875765526"/>
          <c:h val="0.75386232970878642"/>
        </c:manualLayout>
      </c:layout>
      <c:bar3DChart>
        <c:barDir val="bar"/>
        <c:grouping val="stacked"/>
        <c:varyColors val="0"/>
        <c:ser>
          <c:idx val="0"/>
          <c:order val="0"/>
          <c:tx>
            <c:strRef>
              <c:f>Лист1!$B$1</c:f>
              <c:strCache>
                <c:ptCount val="1"/>
                <c:pt idx="0">
                  <c:v>Столбец5</c:v>
                </c:pt>
              </c:strCache>
            </c:strRef>
          </c:tx>
          <c:spPr>
            <a:solidFill>
              <a:schemeClr val="accent5">
                <a:lumMod val="60000"/>
                <a:lumOff val="40000"/>
              </a:schemeClr>
            </a:solidFill>
          </c:spPr>
          <c:invertIfNegative val="0"/>
          <c:dPt>
            <c:idx val="2"/>
            <c:invertIfNegative val="0"/>
            <c:bubble3D val="0"/>
            <c:spPr>
              <a:solidFill>
                <a:srgbClr val="FF0000"/>
              </a:solidFill>
            </c:spPr>
          </c:dPt>
          <c:dLbls>
            <c:dLbl>
              <c:idx val="0"/>
              <c:layout>
                <c:manualLayout>
                  <c:x val="7.6388888888888895E-2"/>
                  <c:y val="-7.9365079365080818E-3"/>
                </c:manualLayout>
              </c:layout>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0879629629629629"/>
                  <c:y val="0"/>
                </c:manualLayout>
              </c:layout>
              <c:tx>
                <c:rich>
                  <a:bodyPr/>
                  <a:lstStyle/>
                  <a:p>
                    <a:r>
                      <a:rPr lang="en-US"/>
                      <a:t>9,23%</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30787037037037018"/>
                  <c:y val="-7.275048233154282E-17"/>
                </c:manualLayout>
              </c:layout>
              <c:tx>
                <c:rich>
                  <a:bodyPr/>
                  <a:lstStyle/>
                  <a:p>
                    <a:r>
                      <a:rPr lang="en-US"/>
                      <a:t>33,85%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25"/>
                  <c:y val="-7.9365079365079361E-3"/>
                </c:manualLayout>
              </c:layout>
              <c:tx>
                <c:rich>
                  <a:bodyPr/>
                  <a:lstStyle/>
                  <a:p>
                    <a:r>
                      <a:rPr lang="en-US"/>
                      <a:t>6,15%</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28009259259259262"/>
                  <c:y val="-3.968253968253968E-3"/>
                </c:manualLayout>
              </c:layout>
              <c:tx>
                <c:rich>
                  <a:bodyPr/>
                  <a:lstStyle/>
                  <a:p>
                    <a:r>
                      <a:rPr lang="en-US"/>
                      <a:t>41,53%</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8.3333333333333245E-2"/>
                  <c:y val="-3.968253968253968E-3"/>
                </c:manualLayout>
              </c:layout>
              <c:tx>
                <c:rich>
                  <a:bodyPr/>
                  <a:lstStyle/>
                  <a:p>
                    <a:r>
                      <a:rPr lang="en-US"/>
                      <a:t>4,62%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арешт</c:v>
                </c:pt>
                <c:pt idx="1">
                  <c:v>громадські роботи</c:v>
                </c:pt>
                <c:pt idx="2">
                  <c:v>штраф</c:v>
                </c:pt>
                <c:pt idx="3">
                  <c:v>позбавлення волі</c:v>
                </c:pt>
                <c:pt idx="4">
                  <c:v>звільнено від покарання з випробуванням</c:v>
                </c:pt>
                <c:pt idx="5">
                  <c:v>обмеження волі</c:v>
                </c:pt>
              </c:strCache>
            </c:strRef>
          </c:cat>
          <c:val>
            <c:numRef>
              <c:f>Лист1!$B$2:$B$7</c:f>
              <c:numCache>
                <c:formatCode>0.00%</c:formatCode>
                <c:ptCount val="6"/>
                <c:pt idx="0">
                  <c:v>3.0800000000000001E-2</c:v>
                </c:pt>
                <c:pt idx="1">
                  <c:v>9.2299999999999993E-2</c:v>
                </c:pt>
                <c:pt idx="2">
                  <c:v>0.33850000000000002</c:v>
                </c:pt>
                <c:pt idx="3" formatCode="0%">
                  <c:v>6.1499999999999999E-2</c:v>
                </c:pt>
                <c:pt idx="4">
                  <c:v>0.4153</c:v>
                </c:pt>
                <c:pt idx="5">
                  <c:v>4.6199999999999998E-2</c:v>
                </c:pt>
              </c:numCache>
            </c:numRef>
          </c:val>
        </c:ser>
        <c:ser>
          <c:idx val="1"/>
          <c:order val="1"/>
          <c:tx>
            <c:strRef>
              <c:f>Лист1!$C$1</c:f>
              <c:strCache>
                <c:ptCount val="1"/>
                <c:pt idx="0">
                  <c:v>Столбец6</c:v>
                </c:pt>
              </c:strCache>
            </c:strRef>
          </c:tx>
          <c:invertIfNegative val="0"/>
          <c:cat>
            <c:strRef>
              <c:f>Лист1!$A$2:$A$7</c:f>
              <c:strCache>
                <c:ptCount val="6"/>
                <c:pt idx="0">
                  <c:v>арешт</c:v>
                </c:pt>
                <c:pt idx="1">
                  <c:v>громадські роботи</c:v>
                </c:pt>
                <c:pt idx="2">
                  <c:v>штраф</c:v>
                </c:pt>
                <c:pt idx="3">
                  <c:v>позбавлення волі</c:v>
                </c:pt>
                <c:pt idx="4">
                  <c:v>звільнено від покарання з випробуванням</c:v>
                </c:pt>
                <c:pt idx="5">
                  <c:v>обмеження волі</c:v>
                </c:pt>
              </c:strCache>
            </c:strRef>
          </c:cat>
          <c:val>
            <c:numRef>
              <c:f>Лист1!$C$2:$C$7</c:f>
              <c:numCache>
                <c:formatCode>General</c:formatCode>
                <c:ptCount val="6"/>
              </c:numCache>
            </c:numRef>
          </c:val>
        </c:ser>
        <c:ser>
          <c:idx val="2"/>
          <c:order val="2"/>
          <c:tx>
            <c:strRef>
              <c:f>Лист1!$D$1</c:f>
              <c:strCache>
                <c:ptCount val="1"/>
                <c:pt idx="0">
                  <c:v>Столбец7</c:v>
                </c:pt>
              </c:strCache>
            </c:strRef>
          </c:tx>
          <c:invertIfNegative val="0"/>
          <c:cat>
            <c:strRef>
              <c:f>Лист1!$A$2:$A$7</c:f>
              <c:strCache>
                <c:ptCount val="6"/>
                <c:pt idx="0">
                  <c:v>арешт</c:v>
                </c:pt>
                <c:pt idx="1">
                  <c:v>громадські роботи</c:v>
                </c:pt>
                <c:pt idx="2">
                  <c:v>штраф</c:v>
                </c:pt>
                <c:pt idx="3">
                  <c:v>позбавлення волі</c:v>
                </c:pt>
                <c:pt idx="4">
                  <c:v>звільнено від покарання з випробуванням</c:v>
                </c:pt>
                <c:pt idx="5">
                  <c:v>обмеження волі</c:v>
                </c:pt>
              </c:strCache>
            </c:strRef>
          </c:cat>
          <c:val>
            <c:numRef>
              <c:f>Лист1!$D$2:$D$7</c:f>
              <c:numCache>
                <c:formatCode>General</c:formatCode>
                <c:ptCount val="6"/>
              </c:numCache>
            </c:numRef>
          </c:val>
        </c:ser>
        <c:ser>
          <c:idx val="3"/>
          <c:order val="3"/>
          <c:tx>
            <c:strRef>
              <c:f>Лист1!$E$1</c:f>
              <c:strCache>
                <c:ptCount val="1"/>
                <c:pt idx="0">
                  <c:v>Столбец8</c:v>
                </c:pt>
              </c:strCache>
            </c:strRef>
          </c:tx>
          <c:invertIfNegative val="0"/>
          <c:cat>
            <c:strRef>
              <c:f>Лист1!$A$2:$A$7</c:f>
              <c:strCache>
                <c:ptCount val="6"/>
                <c:pt idx="0">
                  <c:v>арешт</c:v>
                </c:pt>
                <c:pt idx="1">
                  <c:v>громадські роботи</c:v>
                </c:pt>
                <c:pt idx="2">
                  <c:v>штраф</c:v>
                </c:pt>
                <c:pt idx="3">
                  <c:v>позбавлення волі</c:v>
                </c:pt>
                <c:pt idx="4">
                  <c:v>звільнено від покарання з випробуванням</c:v>
                </c:pt>
                <c:pt idx="5">
                  <c:v>обмеження волі</c:v>
                </c:pt>
              </c:strCache>
            </c:strRef>
          </c:cat>
          <c:val>
            <c:numRef>
              <c:f>Лист1!$E$2:$E$7</c:f>
              <c:numCache>
                <c:formatCode>General</c:formatCode>
                <c:ptCount val="6"/>
              </c:numCache>
            </c:numRef>
          </c:val>
        </c:ser>
        <c:ser>
          <c:idx val="4"/>
          <c:order val="4"/>
          <c:tx>
            <c:strRef>
              <c:f>Лист1!$F$1</c:f>
              <c:strCache>
                <c:ptCount val="1"/>
                <c:pt idx="0">
                  <c:v>Столбец9</c:v>
                </c:pt>
              </c:strCache>
            </c:strRef>
          </c:tx>
          <c:invertIfNegative val="0"/>
          <c:cat>
            <c:strRef>
              <c:f>Лист1!$A$2:$A$7</c:f>
              <c:strCache>
                <c:ptCount val="6"/>
                <c:pt idx="0">
                  <c:v>арешт</c:v>
                </c:pt>
                <c:pt idx="1">
                  <c:v>громадські роботи</c:v>
                </c:pt>
                <c:pt idx="2">
                  <c:v>штраф</c:v>
                </c:pt>
                <c:pt idx="3">
                  <c:v>позбавлення волі</c:v>
                </c:pt>
                <c:pt idx="4">
                  <c:v>звільнено від покарання з випробуванням</c:v>
                </c:pt>
                <c:pt idx="5">
                  <c:v>обмеження волі</c:v>
                </c:pt>
              </c:strCache>
            </c:strRef>
          </c:cat>
          <c:val>
            <c:numRef>
              <c:f>Лист1!$F$2:$F$7</c:f>
              <c:numCache>
                <c:formatCode>General</c:formatCode>
                <c:ptCount val="6"/>
              </c:numCache>
            </c:numRef>
          </c:val>
        </c:ser>
        <c:dLbls>
          <c:showLegendKey val="0"/>
          <c:showVal val="0"/>
          <c:showCatName val="0"/>
          <c:showSerName val="0"/>
          <c:showPercent val="0"/>
          <c:showBubbleSize val="0"/>
        </c:dLbls>
        <c:gapWidth val="150"/>
        <c:shape val="box"/>
        <c:axId val="414040136"/>
        <c:axId val="414038176"/>
        <c:axId val="0"/>
      </c:bar3DChart>
      <c:catAx>
        <c:axId val="414040136"/>
        <c:scaling>
          <c:orientation val="minMax"/>
        </c:scaling>
        <c:delete val="0"/>
        <c:axPos val="l"/>
        <c:numFmt formatCode="General" sourceLinked="0"/>
        <c:majorTickMark val="out"/>
        <c:minorTickMark val="none"/>
        <c:tickLblPos val="nextTo"/>
        <c:txPr>
          <a:bodyPr/>
          <a:lstStyle/>
          <a:p>
            <a:pPr>
              <a:defRPr b="1"/>
            </a:pPr>
            <a:endParaRPr lang="uk-UA"/>
          </a:p>
        </c:txPr>
        <c:crossAx val="414038176"/>
        <c:crosses val="autoZero"/>
        <c:auto val="1"/>
        <c:lblAlgn val="ctr"/>
        <c:lblOffset val="100"/>
        <c:noMultiLvlLbl val="0"/>
      </c:catAx>
      <c:valAx>
        <c:axId val="414038176"/>
        <c:scaling>
          <c:orientation val="minMax"/>
        </c:scaling>
        <c:delete val="0"/>
        <c:axPos val="b"/>
        <c:majorGridlines/>
        <c:numFmt formatCode="0.00%" sourceLinked="1"/>
        <c:majorTickMark val="out"/>
        <c:minorTickMark val="none"/>
        <c:tickLblPos val="nextTo"/>
        <c:crossAx val="41404013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chemeClr val="accent1"/>
                </a:solidFill>
              </a:rPr>
              <a:t>Вік притягнених осіб до відповідальності</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Ряд 1</c:v>
                </c:pt>
              </c:strCache>
            </c:strRef>
          </c:tx>
          <c:spPr>
            <a:solidFill>
              <a:schemeClr val="accent1"/>
            </a:solidFill>
            <a:ln>
              <a:noFill/>
            </a:ln>
            <a:effectLst/>
            <a:sp3d/>
          </c:spPr>
          <c:invertIfNegative val="0"/>
          <c:dPt>
            <c:idx val="4"/>
            <c:invertIfNegative val="0"/>
            <c:bubble3D val="0"/>
            <c:spPr>
              <a:solidFill>
                <a:srgbClr val="FF0000"/>
              </a:solidFill>
              <a:ln>
                <a:noFill/>
              </a:ln>
              <a:effectLst/>
              <a:sp3d/>
            </c:spPr>
          </c:dPt>
          <c:dLbls>
            <c:dLbl>
              <c:idx val="4"/>
              <c:tx>
                <c:rich>
                  <a:bodyPr/>
                  <a:lstStyle/>
                  <a:p>
                    <a:r>
                      <a:rPr lang="en-US"/>
                      <a:t>50,77%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1">
                  <c:v>16-18 років</c:v>
                </c:pt>
                <c:pt idx="2">
                  <c:v>18-25 років</c:v>
                </c:pt>
                <c:pt idx="3">
                  <c:v>25-30 років</c:v>
                </c:pt>
                <c:pt idx="4">
                  <c:v>30-50 років</c:v>
                </c:pt>
                <c:pt idx="5">
                  <c:v>50-65 років</c:v>
                </c:pt>
                <c:pt idx="6">
                  <c:v>65 і старше</c:v>
                </c:pt>
              </c:strCache>
            </c:strRef>
          </c:cat>
          <c:val>
            <c:numRef>
              <c:f>Лист1!$B$2:$B$9</c:f>
              <c:numCache>
                <c:formatCode>0.00%</c:formatCode>
                <c:ptCount val="8"/>
                <c:pt idx="1">
                  <c:v>1.54E-2</c:v>
                </c:pt>
                <c:pt idx="2">
                  <c:v>0.1384</c:v>
                </c:pt>
                <c:pt idx="3">
                  <c:v>0.15379999999999999</c:v>
                </c:pt>
                <c:pt idx="4" formatCode="0%">
                  <c:v>0.50770000000000004</c:v>
                </c:pt>
                <c:pt idx="5">
                  <c:v>0.16919999999999999</c:v>
                </c:pt>
                <c:pt idx="6">
                  <c:v>1.54E-2</c:v>
                </c:pt>
              </c:numCache>
            </c:numRef>
          </c:val>
        </c:ser>
        <c:ser>
          <c:idx val="1"/>
          <c:order val="1"/>
          <c:tx>
            <c:strRef>
              <c:f>Лист1!$C$1</c:f>
              <c:strCache>
                <c:ptCount val="1"/>
                <c:pt idx="0">
                  <c:v>Ряд 2</c:v>
                </c:pt>
              </c:strCache>
            </c:strRef>
          </c:tx>
          <c:invertIfNegative val="0"/>
          <c:cat>
            <c:strRef>
              <c:f>Лист1!$A$2:$A$9</c:f>
              <c:strCache>
                <c:ptCount val="7"/>
                <c:pt idx="1">
                  <c:v>16-18 років</c:v>
                </c:pt>
                <c:pt idx="2">
                  <c:v>18-25 років</c:v>
                </c:pt>
                <c:pt idx="3">
                  <c:v>25-30 років</c:v>
                </c:pt>
                <c:pt idx="4">
                  <c:v>30-50 років</c:v>
                </c:pt>
                <c:pt idx="5">
                  <c:v>50-65 років</c:v>
                </c:pt>
                <c:pt idx="6">
                  <c:v>65 і старше</c:v>
                </c:pt>
              </c:strCache>
            </c:strRef>
          </c:cat>
          <c:val>
            <c:numRef>
              <c:f>Лист1!$C$2:$C$9</c:f>
              <c:numCache>
                <c:formatCode>General</c:formatCode>
                <c:ptCount val="8"/>
              </c:numCache>
            </c:numRef>
          </c:val>
        </c:ser>
        <c:ser>
          <c:idx val="2"/>
          <c:order val="2"/>
          <c:tx>
            <c:strRef>
              <c:f>Лист1!$D$1</c:f>
              <c:strCache>
                <c:ptCount val="1"/>
                <c:pt idx="0">
                  <c:v>Ряд 3</c:v>
                </c:pt>
              </c:strCache>
            </c:strRef>
          </c:tx>
          <c:invertIfNegative val="0"/>
          <c:cat>
            <c:strRef>
              <c:f>Лист1!$A$2:$A$9</c:f>
              <c:strCache>
                <c:ptCount val="7"/>
                <c:pt idx="1">
                  <c:v>16-18 років</c:v>
                </c:pt>
                <c:pt idx="2">
                  <c:v>18-25 років</c:v>
                </c:pt>
                <c:pt idx="3">
                  <c:v>25-30 років</c:v>
                </c:pt>
                <c:pt idx="4">
                  <c:v>30-50 років</c:v>
                </c:pt>
                <c:pt idx="5">
                  <c:v>50-65 років</c:v>
                </c:pt>
                <c:pt idx="6">
                  <c:v>65 і старше</c:v>
                </c:pt>
              </c:strCache>
            </c:strRef>
          </c:cat>
          <c:val>
            <c:numRef>
              <c:f>Лист1!$D$2:$D$9</c:f>
              <c:numCache>
                <c:formatCode>General</c:formatCode>
                <c:ptCount val="8"/>
              </c:numCache>
            </c:numRef>
          </c:val>
        </c:ser>
        <c:ser>
          <c:idx val="3"/>
          <c:order val="3"/>
          <c:tx>
            <c:strRef>
              <c:f>Лист1!$E$1</c:f>
              <c:strCache>
                <c:ptCount val="1"/>
                <c:pt idx="0">
                  <c:v>Ряд 4</c:v>
                </c:pt>
              </c:strCache>
            </c:strRef>
          </c:tx>
          <c:invertIfNegative val="0"/>
          <c:cat>
            <c:strRef>
              <c:f>Лист1!$A$2:$A$9</c:f>
              <c:strCache>
                <c:ptCount val="7"/>
                <c:pt idx="1">
                  <c:v>16-18 років</c:v>
                </c:pt>
                <c:pt idx="2">
                  <c:v>18-25 років</c:v>
                </c:pt>
                <c:pt idx="3">
                  <c:v>25-30 років</c:v>
                </c:pt>
                <c:pt idx="4">
                  <c:v>30-50 років</c:v>
                </c:pt>
                <c:pt idx="5">
                  <c:v>50-65 років</c:v>
                </c:pt>
                <c:pt idx="6">
                  <c:v>65 і старше</c:v>
                </c:pt>
              </c:strCache>
            </c:strRef>
          </c:cat>
          <c:val>
            <c:numRef>
              <c:f>Лист1!$E$2:$E$9</c:f>
              <c:numCache>
                <c:formatCode>General</c:formatCode>
                <c:ptCount val="8"/>
              </c:numCache>
            </c:numRef>
          </c:val>
        </c:ser>
        <c:dLbls>
          <c:showLegendKey val="0"/>
          <c:showVal val="0"/>
          <c:showCatName val="0"/>
          <c:showSerName val="0"/>
          <c:showPercent val="0"/>
          <c:showBubbleSize val="0"/>
        </c:dLbls>
        <c:gapWidth val="150"/>
        <c:shape val="box"/>
        <c:axId val="414042488"/>
        <c:axId val="414041704"/>
        <c:axId val="480639136"/>
      </c:bar3DChart>
      <c:catAx>
        <c:axId val="414042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4041704"/>
        <c:crosses val="autoZero"/>
        <c:auto val="1"/>
        <c:lblAlgn val="ctr"/>
        <c:lblOffset val="100"/>
        <c:noMultiLvlLbl val="0"/>
      </c:catAx>
      <c:valAx>
        <c:axId val="414041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4042488"/>
        <c:crosses val="autoZero"/>
        <c:crossBetween val="between"/>
      </c:valAx>
      <c:serAx>
        <c:axId val="48063913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404170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accent1"/>
                </a:solidFill>
              </a:rPr>
              <a:t>Рід зайняття осіб притягнених до кримінальної відповідальності</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422654845309692E-2"/>
          <c:y val="0.17543047859758268"/>
          <c:w val="0.91898148148148151"/>
          <c:h val="0.64458973878265213"/>
        </c:manualLayout>
      </c:layout>
      <c:pie3DChart>
        <c:varyColors val="1"/>
        <c:ser>
          <c:idx val="0"/>
          <c:order val="0"/>
          <c:tx>
            <c:strRef>
              <c:f>Лист1!$B$1</c:f>
              <c:strCache>
                <c:ptCount val="1"/>
                <c:pt idx="0">
                  <c:v>Продажи</c:v>
                </c:pt>
              </c:strCache>
            </c:strRef>
          </c:tx>
          <c:explosion val="64"/>
          <c:dPt>
            <c:idx val="0"/>
            <c:bubble3D val="0"/>
            <c:explosion val="77"/>
            <c:spPr>
              <a:solidFill>
                <a:srgbClr val="F5AF23"/>
              </a:solidFill>
              <a:ln w="25400">
                <a:solidFill>
                  <a:schemeClr val="lt1"/>
                </a:solidFill>
              </a:ln>
              <a:effectLst/>
              <a:sp3d contourW="25400">
                <a:contourClr>
                  <a:schemeClr val="lt1"/>
                </a:contourClr>
              </a:sp3d>
            </c:spPr>
          </c:dPt>
          <c:dPt>
            <c:idx val="1"/>
            <c:bubble3D val="0"/>
            <c:explosion val="56"/>
            <c:spPr>
              <a:solidFill>
                <a:srgbClr val="FF0000"/>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rgbClr val="DC52C2"/>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FF00"/>
              </a:solidFill>
              <a:ln w="25400">
                <a:solidFill>
                  <a:schemeClr val="lt1"/>
                </a:solidFill>
              </a:ln>
              <a:effectLst/>
              <a:sp3d contourW="25400">
                <a:contourClr>
                  <a:schemeClr val="lt1"/>
                </a:contourClr>
              </a:sp3d>
            </c:spPr>
          </c:dPt>
          <c:dPt>
            <c:idx val="6"/>
            <c:bubble3D val="0"/>
            <c:spPr>
              <a:solidFill>
                <a:srgbClr val="99F51F"/>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5"/>
                <c:pt idx="0">
                  <c:v>працездатні які не працювали</c:v>
                </c:pt>
                <c:pt idx="1">
                  <c:v>робітники</c:v>
                </c:pt>
                <c:pt idx="2">
                  <c:v>інші службовці</c:v>
                </c:pt>
                <c:pt idx="3">
                  <c:v>студенти</c:v>
                </c:pt>
                <c:pt idx="4">
                  <c:v>пенсіонери</c:v>
                </c:pt>
              </c:strCache>
            </c:strRef>
          </c:cat>
          <c:val>
            <c:numRef>
              <c:f>Лист1!$B$2:$B$8</c:f>
              <c:numCache>
                <c:formatCode>0.00%</c:formatCode>
                <c:ptCount val="7"/>
                <c:pt idx="0">
                  <c:v>0.81540000000000001</c:v>
                </c:pt>
                <c:pt idx="1">
                  <c:v>0.1077</c:v>
                </c:pt>
                <c:pt idx="2">
                  <c:v>1.54E-2</c:v>
                </c:pt>
                <c:pt idx="3">
                  <c:v>1.54E-2</c:v>
                </c:pt>
                <c:pt idx="4">
                  <c:v>4.6199999999999998E-2</c:v>
                </c:pt>
              </c:numCache>
            </c:numRef>
          </c:val>
        </c:ser>
        <c:ser>
          <c:idx val="1"/>
          <c:order val="1"/>
          <c:tx>
            <c:strRef>
              <c:f>Лист1!$C$1</c:f>
              <c:strCache>
                <c:ptCount val="1"/>
                <c:pt idx="0">
                  <c:v>Столбец1</c:v>
                </c:pt>
              </c:strCache>
            </c:strRef>
          </c:tx>
          <c:cat>
            <c:strRef>
              <c:f>Лист1!$A$2:$A$8</c:f>
              <c:strCache>
                <c:ptCount val="5"/>
                <c:pt idx="0">
                  <c:v>працездатні які не працювали</c:v>
                </c:pt>
                <c:pt idx="1">
                  <c:v>робітники</c:v>
                </c:pt>
                <c:pt idx="2">
                  <c:v>інші службовці</c:v>
                </c:pt>
                <c:pt idx="3">
                  <c:v>студенти</c:v>
                </c:pt>
                <c:pt idx="4">
                  <c:v>пенсіонери</c:v>
                </c:pt>
              </c:strCache>
            </c:strRef>
          </c:cat>
          <c:val>
            <c:numRef>
              <c:f>Лист1!$C$2:$C$8</c:f>
              <c:numCache>
                <c:formatCode>General</c:formatCode>
                <c:ptCount val="7"/>
              </c:numCache>
            </c:numRef>
          </c:val>
        </c:ser>
        <c:ser>
          <c:idx val="2"/>
          <c:order val="2"/>
          <c:tx>
            <c:strRef>
              <c:f>Лист1!$D$1</c:f>
              <c:strCache>
                <c:ptCount val="1"/>
                <c:pt idx="0">
                  <c:v>Столбец2</c:v>
                </c:pt>
              </c:strCache>
            </c:strRef>
          </c:tx>
          <c:cat>
            <c:strRef>
              <c:f>Лист1!$A$2:$A$8</c:f>
              <c:strCache>
                <c:ptCount val="5"/>
                <c:pt idx="0">
                  <c:v>працездатні які не працювали</c:v>
                </c:pt>
                <c:pt idx="1">
                  <c:v>робітники</c:v>
                </c:pt>
                <c:pt idx="2">
                  <c:v>інші службовці</c:v>
                </c:pt>
                <c:pt idx="3">
                  <c:v>студенти</c:v>
                </c:pt>
                <c:pt idx="4">
                  <c:v>пенсіонери</c:v>
                </c:pt>
              </c:strCache>
            </c:strRef>
          </c:cat>
          <c:val>
            <c:numRef>
              <c:f>Лист1!$D$2:$D$8</c:f>
              <c:numCache>
                <c:formatCode>General</c:formatCode>
                <c:ptCount val="7"/>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chemeClr val="tx2">
                    <a:lumMod val="60000"/>
                    <a:lumOff val="40000"/>
                  </a:schemeClr>
                </a:solidFill>
              </a:rPr>
              <a:t>Рід</a:t>
            </a:r>
            <a:r>
              <a:rPr lang="uk-UA" b="1" baseline="0">
                <a:solidFill>
                  <a:schemeClr val="tx2">
                    <a:lumMod val="60000"/>
                    <a:lumOff val="40000"/>
                  </a:schemeClr>
                </a:solidFill>
              </a:rPr>
              <a:t> зайняття осіб притягнутих до адміністративної відповідальності</a:t>
            </a:r>
            <a:endParaRPr lang="ru-RU" b="1">
              <a:solidFill>
                <a:schemeClr val="tx2">
                  <a:lumMod val="60000"/>
                  <a:lumOff val="40000"/>
                </a:schemeClr>
              </a:solidFill>
            </a:endParaRPr>
          </a:p>
        </c:rich>
      </c:tx>
      <c:overlay val="0"/>
      <c:spPr>
        <a:noFill/>
        <a:ln>
          <a:noFill/>
        </a:ln>
        <a:effectLst/>
      </c:spPr>
    </c:title>
    <c:autoTitleDeleted val="0"/>
    <c:plotArea>
      <c:layout>
        <c:manualLayout>
          <c:layoutTarget val="inner"/>
          <c:xMode val="edge"/>
          <c:yMode val="edge"/>
          <c:x val="0.49109416010498685"/>
          <c:y val="0.19515873015873017"/>
          <c:w val="0.45299686497521141"/>
          <c:h val="0.77656605424321956"/>
        </c:manualLayout>
      </c:layout>
      <c:doughnutChart>
        <c:varyColors val="1"/>
        <c:ser>
          <c:idx val="0"/>
          <c:order val="0"/>
          <c:tx>
            <c:strRef>
              <c:f>Лист1!$B$1</c:f>
              <c:strCache>
                <c:ptCount val="1"/>
                <c:pt idx="0">
                  <c:v>Продажи</c:v>
                </c:pt>
              </c:strCache>
            </c:strRef>
          </c:tx>
          <c:dPt>
            <c:idx val="0"/>
            <c:bubble3D val="0"/>
            <c:spPr>
              <a:solidFill>
                <a:srgbClr val="0070C0"/>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99F51F"/>
              </a:solidFill>
              <a:ln w="19050">
                <a:solidFill>
                  <a:schemeClr val="lt1"/>
                </a:solidFill>
              </a:ln>
              <a:effectLst/>
            </c:spPr>
          </c:dPt>
          <c:dPt>
            <c:idx val="3"/>
            <c:bubble3D val="0"/>
            <c:spPr>
              <a:solidFill>
                <a:srgbClr val="7030A0"/>
              </a:solidFill>
              <a:ln w="19050">
                <a:solidFill>
                  <a:schemeClr val="lt1"/>
                </a:solidFill>
              </a:ln>
              <a:effectLst/>
            </c:spPr>
          </c:dPt>
          <c:dPt>
            <c:idx val="4"/>
            <c:bubble3D val="0"/>
            <c:spPr>
              <a:solidFill>
                <a:srgbClr val="00B0F0"/>
              </a:solidFill>
              <a:ln w="19050">
                <a:solidFill>
                  <a:schemeClr val="lt1"/>
                </a:solidFill>
              </a:ln>
              <a:effectLst/>
            </c:spPr>
          </c:dPt>
          <c:dPt>
            <c:idx val="5"/>
            <c:bubble3D val="0"/>
            <c:spPr>
              <a:solidFill>
                <a:srgbClr val="FB8209"/>
              </a:solidFill>
              <a:ln w="19050">
                <a:solidFill>
                  <a:schemeClr val="lt1"/>
                </a:solidFill>
              </a:ln>
              <a:effectLst/>
            </c:spPr>
          </c:dPt>
          <c:dLbls>
            <c:dLbl>
              <c:idx val="0"/>
              <c:layout>
                <c:manualLayout>
                  <c:x val="-9.7222222222222224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8.3333333333333329E-2"/>
                </c:manualLayout>
              </c:layout>
              <c:tx>
                <c:rich>
                  <a:bodyPr/>
                  <a:lstStyle/>
                  <a:p>
                    <a:r>
                      <a:rPr lang="en-US"/>
                      <a:t>10,99%</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7.4074074074074153E-2"/>
                  <c:y val="6.349206349206348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3333333333333329E-2"/>
                  <c:y val="-1.1904761904761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407407407407407E-2"/>
                  <c:y val="-4.3650793650793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робітники</c:v>
                </c:pt>
                <c:pt idx="1">
                  <c:v>військовослужбовці</c:v>
                </c:pt>
                <c:pt idx="2">
                  <c:v>інші службовці</c:v>
                </c:pt>
                <c:pt idx="3">
                  <c:v>пенсіонери</c:v>
                </c:pt>
                <c:pt idx="4">
                  <c:v>працездатні,які не працювали і не навчалися</c:v>
                </c:pt>
                <c:pt idx="5">
                  <c:v>інші</c:v>
                </c:pt>
              </c:strCache>
            </c:strRef>
          </c:cat>
          <c:val>
            <c:numRef>
              <c:f>Лист1!$B$2:$B$7</c:f>
              <c:numCache>
                <c:formatCode>0%</c:formatCode>
                <c:ptCount val="6"/>
                <c:pt idx="0">
                  <c:v>0.1099</c:v>
                </c:pt>
                <c:pt idx="1">
                  <c:v>7.3200000000000001E-2</c:v>
                </c:pt>
                <c:pt idx="2">
                  <c:v>2.8E-3</c:v>
                </c:pt>
                <c:pt idx="3">
                  <c:v>4.2299999999999997E-2</c:v>
                </c:pt>
                <c:pt idx="4" formatCode="0.00%">
                  <c:v>0.74080000000000001</c:v>
                </c:pt>
                <c:pt idx="5">
                  <c:v>2.8199999999999999E-2</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600" b="1">
                <a:solidFill>
                  <a:srgbClr val="00B050"/>
                </a:solidFill>
              </a:rPr>
              <a:t>Види основних стягнень</a:t>
            </a:r>
          </a:p>
        </c:rich>
      </c:tx>
      <c:layout>
        <c:manualLayout>
          <c:xMode val="edge"/>
          <c:yMode val="edge"/>
          <c:x val="0.31690963108778064"/>
          <c:y val="2.777777777777777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Ряд 1</c:v>
                </c:pt>
              </c:strCache>
            </c:strRef>
          </c:tx>
          <c:spPr>
            <a:solidFill>
              <a:schemeClr val="accent1"/>
            </a:solidFill>
            <a:ln>
              <a:noFill/>
            </a:ln>
            <a:effectLst/>
            <a:sp3d/>
          </c:spPr>
          <c:invertIfNegative val="0"/>
          <c:dPt>
            <c:idx val="0"/>
            <c:invertIfNegative val="0"/>
            <c:bubble3D val="0"/>
            <c:spPr>
              <a:solidFill>
                <a:schemeClr val="accent3"/>
              </a:solidFill>
              <a:ln>
                <a:noFill/>
              </a:ln>
              <a:effectLst/>
              <a:sp3d/>
            </c:spPr>
          </c:dPt>
          <c:dPt>
            <c:idx val="1"/>
            <c:invertIfNegative val="0"/>
            <c:bubble3D val="0"/>
            <c:spPr>
              <a:solidFill>
                <a:schemeClr val="accent5">
                  <a:lumMod val="75000"/>
                </a:schemeClr>
              </a:solidFill>
              <a:ln>
                <a:noFill/>
              </a:ln>
              <a:effectLst/>
              <a:sp3d/>
            </c:spPr>
          </c:dPt>
          <c:dPt>
            <c:idx val="2"/>
            <c:invertIfNegative val="0"/>
            <c:bubble3D val="0"/>
            <c:spPr>
              <a:solidFill>
                <a:srgbClr val="FFC000"/>
              </a:solidFill>
              <a:ln>
                <a:noFill/>
              </a:ln>
              <a:effectLst/>
              <a:sp3d/>
            </c:spPr>
          </c:dPt>
          <c:dPt>
            <c:idx val="3"/>
            <c:invertIfNegative val="0"/>
            <c:bubble3D val="0"/>
            <c:spPr>
              <a:solidFill>
                <a:schemeClr val="accent2"/>
              </a:solidFill>
              <a:ln>
                <a:noFill/>
              </a:ln>
              <a:effectLst/>
              <a:sp3d/>
            </c:spPr>
          </c:dPt>
          <c:dPt>
            <c:idx val="5"/>
            <c:invertIfNegative val="0"/>
            <c:bubble3D val="0"/>
            <c:spPr>
              <a:solidFill>
                <a:srgbClr val="00B0F0"/>
              </a:solidFill>
              <a:ln>
                <a:noFill/>
              </a:ln>
              <a:effectLst/>
              <a:sp3d/>
            </c:spPr>
          </c:dPt>
          <c:dPt>
            <c:idx val="6"/>
            <c:invertIfNegative val="0"/>
            <c:bubble3D val="0"/>
            <c:spPr>
              <a:solidFill>
                <a:srgbClr val="7030A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0">
                  <c:v>штрафи</c:v>
                </c:pt>
                <c:pt idx="1">
                  <c:v>попередження</c:v>
                </c:pt>
                <c:pt idx="2">
                  <c:v>громадські роботи</c:v>
                </c:pt>
                <c:pt idx="3">
                  <c:v>суспільно-корисні роботи</c:v>
                </c:pt>
                <c:pt idx="4">
                  <c:v>адміністративний арешт</c:v>
                </c:pt>
                <c:pt idx="5">
                  <c:v>позбавлення спеціального права керування т/з</c:v>
                </c:pt>
                <c:pt idx="6">
                  <c:v>конфіскація предмета, грошей</c:v>
                </c:pt>
              </c:strCache>
            </c:strRef>
          </c:cat>
          <c:val>
            <c:numRef>
              <c:f>Лист1!$B$2:$B$9</c:f>
              <c:numCache>
                <c:formatCode>0.00%</c:formatCode>
                <c:ptCount val="8"/>
                <c:pt idx="0">
                  <c:v>0.81689999999999996</c:v>
                </c:pt>
                <c:pt idx="1">
                  <c:v>5.0700000000000002E-2</c:v>
                </c:pt>
                <c:pt idx="2">
                  <c:v>2.2499999999999999E-2</c:v>
                </c:pt>
                <c:pt idx="3">
                  <c:v>0.1014</c:v>
                </c:pt>
                <c:pt idx="4">
                  <c:v>8.5000000000000006E-3</c:v>
                </c:pt>
                <c:pt idx="5">
                  <c:v>0.2056</c:v>
                </c:pt>
                <c:pt idx="6">
                  <c:v>8.5000000000000006E-3</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Лист1!$A$2:$A$9</c:f>
              <c:strCache>
                <c:ptCount val="7"/>
                <c:pt idx="0">
                  <c:v>штрафи</c:v>
                </c:pt>
                <c:pt idx="1">
                  <c:v>попередження</c:v>
                </c:pt>
                <c:pt idx="2">
                  <c:v>громадські роботи</c:v>
                </c:pt>
                <c:pt idx="3">
                  <c:v>суспільно-корисні роботи</c:v>
                </c:pt>
                <c:pt idx="4">
                  <c:v>адміністративний арешт</c:v>
                </c:pt>
                <c:pt idx="5">
                  <c:v>позбавлення спеціального права керування т/з</c:v>
                </c:pt>
                <c:pt idx="6">
                  <c:v>конфіскація предмета, грошей</c:v>
                </c:pt>
              </c:strCache>
            </c:strRef>
          </c:cat>
          <c:val>
            <c:numRef>
              <c:f>Лист1!$C$2:$C$9</c:f>
              <c:numCache>
                <c:formatCode>General</c:formatCode>
                <c:ptCount val="8"/>
              </c:numCache>
            </c:numRef>
          </c:val>
        </c:ser>
        <c:dLbls>
          <c:showLegendKey val="0"/>
          <c:showVal val="0"/>
          <c:showCatName val="0"/>
          <c:showSerName val="0"/>
          <c:showPercent val="0"/>
          <c:showBubbleSize val="0"/>
        </c:dLbls>
        <c:gapWidth val="150"/>
        <c:shape val="box"/>
        <c:axId val="414926896"/>
        <c:axId val="414930032"/>
        <c:axId val="480640832"/>
      </c:bar3DChart>
      <c:catAx>
        <c:axId val="414926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4930032"/>
        <c:crosses val="autoZero"/>
        <c:auto val="1"/>
        <c:lblAlgn val="ctr"/>
        <c:lblOffset val="100"/>
        <c:noMultiLvlLbl val="0"/>
      </c:catAx>
      <c:valAx>
        <c:axId val="414930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4926896"/>
        <c:crosses val="autoZero"/>
        <c:crossBetween val="between"/>
      </c:valAx>
      <c:serAx>
        <c:axId val="480640832"/>
        <c:scaling>
          <c:orientation val="minMax"/>
        </c:scaling>
        <c:delete val="1"/>
        <c:axPos val="b"/>
        <c:majorTickMark val="none"/>
        <c:minorTickMark val="none"/>
        <c:tickLblPos val="nextTo"/>
        <c:crossAx val="41493003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45,51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15,6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18,47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12,89</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6,88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позовної заяви майнового характеру </c:v>
                </c:pt>
                <c:pt idx="1">
                  <c:v>позовної заяви немайнового характеру</c:v>
                </c:pt>
                <c:pt idx="2">
                  <c:v>позовної заяви про розірвання шлюбу</c:v>
                </c:pt>
                <c:pt idx="3">
                  <c:v>заяви про видачу судового наказу</c:v>
                </c:pt>
                <c:pt idx="4">
                  <c:v>заяви у справах окремого провадження</c:v>
                </c:pt>
              </c:strCache>
            </c:strRef>
          </c:cat>
          <c:val>
            <c:numRef>
              <c:f>Лист1!$B$2:$B$6</c:f>
              <c:numCache>
                <c:formatCode>General</c:formatCode>
                <c:ptCount val="5"/>
                <c:pt idx="0">
                  <c:v>58.2</c:v>
                </c:pt>
                <c:pt idx="1">
                  <c:v>10.88</c:v>
                </c:pt>
                <c:pt idx="2">
                  <c:v>19.350000000000001</c:v>
                </c:pt>
                <c:pt idx="3">
                  <c:v>5.16</c:v>
                </c:pt>
                <c:pt idx="4">
                  <c:v>5.89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Справи та матеріали кримінального судочинства</c:v>
                </c:pt>
                <c:pt idx="1">
                  <c:v>Справи та матеріали адміністративного судочинства</c:v>
                </c:pt>
                <c:pt idx="2">
                  <c:v>Справи та матеріали цивільного судочинства</c:v>
                </c:pt>
                <c:pt idx="3">
                  <c:v>Справи та матеріали про адміністративні правопорушення</c:v>
                </c:pt>
              </c:strCache>
            </c:strRef>
          </c:cat>
          <c:val>
            <c:numRef>
              <c:f>Лист1!$B$2:$B$5</c:f>
              <c:numCache>
                <c:formatCode>General</c:formatCode>
                <c:ptCount val="4"/>
                <c:pt idx="0">
                  <c:v>28.2</c:v>
                </c:pt>
                <c:pt idx="1">
                  <c:v>0.68</c:v>
                </c:pt>
                <c:pt idx="2">
                  <c:v>37.299999999999997</c:v>
                </c:pt>
                <c:pt idx="3">
                  <c:v>33.75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Справи</a:t>
            </a:r>
            <a:r>
              <a:rPr lang="ru-RU" b="1" baseline="0"/>
              <a:t> зі спорів з приводу забезпечення громадського порядку та безпеки, національної безпеки та обопрони України</a:t>
            </a:r>
            <a:endParaRPr lang="ru-RU" b="1"/>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96442111402741E-2"/>
          <c:y val="0.34227409073865767"/>
          <c:w val="0.5440953995333917"/>
          <c:h val="0.57842800899887514"/>
        </c:manualLayout>
      </c:layout>
      <c:pie3DChart>
        <c:varyColors val="1"/>
        <c:ser>
          <c:idx val="0"/>
          <c:order val="0"/>
          <c:tx>
            <c:strRef>
              <c:f>Лист1!$B$1</c:f>
              <c:strCache>
                <c:ptCount val="1"/>
                <c:pt idx="0">
                  <c:v>Продажи</c:v>
                </c:pt>
              </c:strCache>
            </c:strRef>
          </c:tx>
          <c:explosion val="28"/>
          <c:dPt>
            <c:idx val="0"/>
            <c:bubble3D val="0"/>
            <c:explosion val="27"/>
            <c:spPr>
              <a:solidFill>
                <a:srgbClr val="95CC32"/>
              </a:solidFill>
              <a:ln w="25400">
                <a:solidFill>
                  <a:schemeClr val="lt1"/>
                </a:solidFill>
              </a:ln>
              <a:effectLst/>
              <a:sp3d contourW="25400">
                <a:contourClr>
                  <a:schemeClr val="lt1"/>
                </a:contourClr>
              </a:sp3d>
            </c:spPr>
          </c:dPt>
          <c:dPt>
            <c:idx val="1"/>
            <c:bubble3D val="0"/>
            <c:explosion val="51"/>
            <c:spPr>
              <a:solidFill>
                <a:srgbClr val="FB8209"/>
              </a:solidFill>
              <a:ln w="25400">
                <a:solidFill>
                  <a:schemeClr val="lt1"/>
                </a:solidFill>
              </a:ln>
              <a:effectLst/>
              <a:sp3d contourW="25400">
                <a:contourClr>
                  <a:schemeClr val="lt1"/>
                </a:contourClr>
              </a:sp3d>
            </c:spPr>
          </c:dPt>
          <c:dLbls>
            <c:dLbl>
              <c:idx val="0"/>
              <c:tx>
                <c:rich>
                  <a:bodyPr/>
                  <a:lstStyle/>
                  <a:p>
                    <a:r>
                      <a:rPr lang="en-US"/>
                      <a:t>100%</a:t>
                    </a:r>
                  </a:p>
                </c:rich>
              </c:tx>
              <c:dLblPos val="ctr"/>
              <c:showLegendKey val="0"/>
              <c:showVal val="1"/>
              <c:showCatName val="0"/>
              <c:showSerName val="0"/>
              <c:showPercent val="1"/>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dLblPos val="ct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1"/>
                <c:pt idx="0">
                  <c:v>Справи щодо "дорожнього руху,транспорту та перевезення пасажирів"</c:v>
                </c:pt>
              </c:strCache>
            </c:strRef>
          </c:cat>
          <c:val>
            <c:numRef>
              <c:f>Лист1!$B$2:$B$3</c:f>
              <c:numCache>
                <c:formatCode>General</c:formatCode>
                <c:ptCount val="2"/>
                <c:pt idx="0" formatCode="0.00%">
                  <c:v>100</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1"/>
        <c:delete val="1"/>
      </c:legendEntry>
      <c:overlay val="0"/>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справи позовного провадження</c:v>
                </c:pt>
                <c:pt idx="1">
                  <c:v>справи окремого провадження</c:v>
                </c:pt>
                <c:pt idx="2">
                  <c:v>справи наказного провадження</c:v>
                </c:pt>
              </c:strCache>
            </c:strRef>
          </c:cat>
          <c:val>
            <c:numRef>
              <c:f>Лист1!$B$2:$B$4</c:f>
              <c:numCache>
                <c:formatCode>General</c:formatCode>
                <c:ptCount val="3"/>
                <c:pt idx="0">
                  <c:v>48.82</c:v>
                </c:pt>
                <c:pt idx="1">
                  <c:v>4.87</c:v>
                </c:pt>
                <c:pt idx="2">
                  <c:v>35.33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0"/>
      <c:rAngAx val="0"/>
    </c:view3D>
    <c:floor>
      <c:thickness val="0"/>
    </c:floor>
    <c:sideWall>
      <c:thickness val="0"/>
    </c:sideWall>
    <c:backWall>
      <c:thickness val="0"/>
    </c:backWall>
    <c:plotArea>
      <c:layout>
        <c:manualLayout>
          <c:layoutTarget val="inner"/>
          <c:xMode val="edge"/>
          <c:yMode val="edge"/>
          <c:x val="3.8973966092076331E-2"/>
          <c:y val="0.10291299014758834"/>
          <c:w val="0.92018509993943065"/>
          <c:h val="0.52577174461788589"/>
        </c:manualLayout>
      </c:layout>
      <c:pie3DChart>
        <c:varyColors val="1"/>
        <c:ser>
          <c:idx val="0"/>
          <c:order val="0"/>
          <c:spPr>
            <a:solidFill>
              <a:srgbClr val="FFFF00"/>
            </a:solidFill>
            <a:ln w="3175">
              <a:solidFill>
                <a:srgbClr val="333399"/>
              </a:solidFill>
              <a:prstDash val="solid"/>
            </a:ln>
          </c:spPr>
          <c:explosion val="25"/>
          <c:dPt>
            <c:idx val="0"/>
            <c:bubble3D val="0"/>
            <c:spPr>
              <a:solidFill>
                <a:srgbClr val="008080"/>
              </a:solidFill>
              <a:ln w="3175">
                <a:solidFill>
                  <a:srgbClr val="333399"/>
                </a:solidFill>
                <a:prstDash val="solid"/>
              </a:ln>
            </c:spPr>
          </c:dPt>
          <c:dPt>
            <c:idx val="1"/>
            <c:bubble3D val="0"/>
            <c:spPr>
              <a:solidFill>
                <a:srgbClr val="0000FF"/>
              </a:solidFill>
              <a:ln w="3175">
                <a:solidFill>
                  <a:srgbClr val="333399"/>
                </a:solidFill>
                <a:prstDash val="solid"/>
              </a:ln>
            </c:spPr>
          </c:dPt>
          <c:dPt>
            <c:idx val="2"/>
            <c:bubble3D val="0"/>
            <c:explosion val="41"/>
            <c:spPr>
              <a:solidFill>
                <a:srgbClr val="FF99CC"/>
              </a:solidFill>
              <a:ln w="3175">
                <a:solidFill>
                  <a:srgbClr val="333399"/>
                </a:solidFill>
                <a:prstDash val="solid"/>
              </a:ln>
            </c:spPr>
          </c:dPt>
          <c:dPt>
            <c:idx val="3"/>
            <c:bubble3D val="0"/>
            <c:explosion val="40"/>
            <c:spPr>
              <a:solidFill>
                <a:srgbClr val="CC0099"/>
              </a:solidFill>
              <a:ln w="3175">
                <a:solidFill>
                  <a:srgbClr val="333399"/>
                </a:solidFill>
                <a:prstDash val="solid"/>
              </a:ln>
            </c:spPr>
          </c:dPt>
          <c:dPt>
            <c:idx val="4"/>
            <c:bubble3D val="0"/>
            <c:explosion val="49"/>
          </c:dPt>
          <c:dPt>
            <c:idx val="5"/>
            <c:bubble3D val="0"/>
            <c:explosion val="46"/>
            <c:spPr>
              <a:solidFill>
                <a:srgbClr val="FF6600"/>
              </a:solidFill>
              <a:ln w="3175">
                <a:solidFill>
                  <a:srgbClr val="333399"/>
                </a:solidFill>
                <a:prstDash val="solid"/>
              </a:ln>
            </c:spPr>
          </c:dPt>
          <c:dPt>
            <c:idx val="6"/>
            <c:bubble3D val="0"/>
            <c:explosion val="64"/>
            <c:spPr>
              <a:solidFill>
                <a:srgbClr val="006600"/>
              </a:solidFill>
              <a:ln w="3175">
                <a:solidFill>
                  <a:srgbClr val="333399"/>
                </a:solidFill>
                <a:prstDash val="solid"/>
              </a:ln>
            </c:spPr>
          </c:dPt>
          <c:dPt>
            <c:idx val="7"/>
            <c:bubble3D val="0"/>
            <c:spPr>
              <a:solidFill>
                <a:srgbClr val="00FFFF"/>
              </a:solidFill>
              <a:ln w="3175">
                <a:solidFill>
                  <a:srgbClr val="333399"/>
                </a:solidFill>
                <a:prstDash val="solid"/>
              </a:ln>
            </c:spPr>
          </c:dPt>
          <c:dPt>
            <c:idx val="8"/>
            <c:bubble3D val="0"/>
            <c:spPr>
              <a:solidFill>
                <a:srgbClr val="0066CC"/>
              </a:solidFill>
              <a:ln w="3175">
                <a:solidFill>
                  <a:srgbClr val="333399"/>
                </a:solidFill>
                <a:prstDash val="solid"/>
              </a:ln>
            </c:spPr>
          </c:dPt>
          <c:dPt>
            <c:idx val="9"/>
            <c:bubble3D val="0"/>
            <c:spPr>
              <a:solidFill>
                <a:srgbClr val="800000"/>
              </a:solidFill>
              <a:ln w="3175">
                <a:solidFill>
                  <a:srgbClr val="333399"/>
                </a:solidFill>
                <a:prstDash val="solid"/>
              </a:ln>
            </c:spPr>
          </c:dPt>
          <c:dLbls>
            <c:dLbl>
              <c:idx val="0"/>
              <c:layout>
                <c:manualLayout>
                  <c:x val="-4.4645942288417508E-3"/>
                  <c:y val="5.2873637708866661E-2"/>
                </c:manualLayout>
              </c:layout>
              <c:tx>
                <c:rich>
                  <a:bodyPr/>
                  <a:lstStyle/>
                  <a:p>
                    <a:pPr>
                      <a:defRPr sz="1000" b="0" i="0" u="none" strike="noStrike" baseline="0">
                        <a:solidFill>
                          <a:srgbClr val="000000"/>
                        </a:solidFill>
                        <a:latin typeface="Calibri"/>
                        <a:ea typeface="Calibri"/>
                        <a:cs typeface="Calibri"/>
                      </a:defRPr>
                    </a:pPr>
                    <a:r>
                      <a:rPr lang="en-US"/>
                      <a:t>1,97%</a:t>
                    </a:r>
                  </a:p>
                </c:rich>
              </c:tx>
              <c:numFmt formatCode="#,##0.00&quot;₴&quot;" sourceLinked="0"/>
              <c:spPr>
                <a:solidFill>
                  <a:srgbClr val="FFFFFF"/>
                </a:solidFill>
                <a:ln w="25400">
                  <a:noFill/>
                </a:ln>
              </c:spPr>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23,65%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2,56%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5108988673713083"/>
                  <c:y val="0.10855956013628378"/>
                </c:manualLayout>
              </c:layout>
              <c:tx>
                <c:rich>
                  <a:bodyPr/>
                  <a:lstStyle/>
                  <a:p>
                    <a:r>
                      <a:rPr lang="en-US"/>
                      <a:t>9,98%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1,71%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2,28%</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0.49936487668771123"/>
                  <c:y val="-6.2138858658927799E-2"/>
                </c:manualLayout>
              </c:layout>
              <c:tx>
                <c:rich>
                  <a:bodyPr/>
                  <a:lstStyle/>
                  <a:p>
                    <a:r>
                      <a:rPr lang="en-US"/>
                      <a:t>7,98%</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47,29%</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extLst>
            </c:dLbl>
            <c:spPr>
              <a:solidFill>
                <a:srgbClr val="FFFFFF"/>
              </a:solidFill>
              <a:ln w="25400">
                <a:noFill/>
              </a:ln>
            </c:spPr>
            <c:txPr>
              <a:bodyPr/>
              <a:lstStyle/>
              <a:p>
                <a:pPr>
                  <a:defRPr sz="10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Лист3!$C$4:$C$13</c:f>
              <c:strCache>
                <c:ptCount val="10"/>
                <c:pt idx="0">
                  <c:v>спори про право власності та інші речові права</c:v>
                </c:pt>
                <c:pt idx="1">
                  <c:v>спори, що виникають з правочинів</c:v>
                </c:pt>
                <c:pt idx="2">
                  <c:v>спори про недоговірні зобов`язання </c:v>
                </c:pt>
                <c:pt idx="3">
                  <c:v>спори про спадкове право</c:v>
                </c:pt>
                <c:pt idx="4">
                  <c:v>спори про захист немайнових прав фізичних осіб</c:v>
                </c:pt>
                <c:pt idx="5">
                  <c:v>спори, що виникають з житлових правовідносин</c:v>
                </c:pt>
                <c:pt idx="6">
                  <c:v>спори, що виникають із земельних правовідносин</c:v>
                </c:pt>
                <c:pt idx="7">
                  <c:v>спори, що виникають із сімейних правовідносин</c:v>
                </c:pt>
                <c:pt idx="8">
                  <c:v>спори, що виникають із трудових правовідносин</c:v>
                </c:pt>
                <c:pt idx="9">
                  <c:v>спори, щодо захисту прав споживачів</c:v>
                </c:pt>
              </c:strCache>
            </c:strRef>
          </c:cat>
          <c:val>
            <c:numRef>
              <c:f>Лист3!$D$4:$D$13</c:f>
              <c:numCache>
                <c:formatCode>General</c:formatCode>
                <c:ptCount val="10"/>
                <c:pt idx="0">
                  <c:v>4.0599999999999996</c:v>
                </c:pt>
                <c:pt idx="1">
                  <c:v>23.56</c:v>
                </c:pt>
                <c:pt idx="2">
                  <c:v>3.65</c:v>
                </c:pt>
                <c:pt idx="3">
                  <c:v>15.68</c:v>
                </c:pt>
                <c:pt idx="4">
                  <c:v>0.24000000000000002</c:v>
                </c:pt>
                <c:pt idx="5">
                  <c:v>4.9000000000000004</c:v>
                </c:pt>
                <c:pt idx="6">
                  <c:v>4.2</c:v>
                </c:pt>
                <c:pt idx="7">
                  <c:v>40.93</c:v>
                </c:pt>
                <c:pt idx="8">
                  <c:v>1.35</c:v>
                </c:pt>
                <c:pt idx="9">
                  <c:v>0.72000000000000008</c:v>
                </c:pt>
              </c:numCache>
            </c:numRef>
          </c:val>
        </c:ser>
        <c:dLbls>
          <c:showLegendKey val="0"/>
          <c:showVal val="0"/>
          <c:showCatName val="0"/>
          <c:showSerName val="0"/>
          <c:showPercent val="0"/>
          <c:showBubbleSize val="0"/>
          <c:showLeaderLines val="1"/>
        </c:dLbls>
      </c:pie3DChart>
      <c:spPr>
        <a:solidFill>
          <a:srgbClr val="FFFFFF"/>
        </a:solidFill>
        <a:ln w="25400">
          <a:noFill/>
        </a:ln>
      </c:spPr>
    </c:plotArea>
    <c:legend>
      <c:legendPos val="b"/>
      <c:legendEntry>
        <c:idx val="8"/>
        <c:delete val="1"/>
      </c:legendEntry>
      <c:legendEntry>
        <c:idx val="9"/>
        <c:delete val="1"/>
      </c:legendEntry>
      <c:layout>
        <c:manualLayout>
          <c:xMode val="edge"/>
          <c:yMode val="edge"/>
          <c:x val="3.2689450222882617E-2"/>
          <c:y val="0.67489841547584362"/>
          <c:w val="0.9236187968763967"/>
          <c:h val="0.25545662889699761"/>
        </c:manualLayout>
      </c:layout>
      <c:overlay val="0"/>
      <c:spPr>
        <a:solidFill>
          <a:srgbClr val="FFFFFF"/>
        </a:solidFill>
        <a:ln w="3175">
          <a:solidFill>
            <a:srgbClr val="C00000"/>
          </a:solidFill>
          <a:prstDash val="solid"/>
        </a:ln>
      </c:spPr>
      <c:txPr>
        <a:bodyPr/>
        <a:lstStyle/>
        <a:p>
          <a:pPr>
            <a:defRPr sz="845" b="0" i="0" u="none" strike="noStrike" baseline="0">
              <a:solidFill>
                <a:srgbClr val="000000"/>
              </a:solidFill>
              <a:latin typeface="Calibri"/>
              <a:ea typeface="Calibri"/>
              <a:cs typeface="Calibri"/>
            </a:defRPr>
          </a:pPr>
          <a:endParaRPr lang="uk-UA"/>
        </a:p>
      </c:txPr>
    </c:legend>
    <c:plotVisOnly val="1"/>
    <c:dispBlanksAs val="zero"/>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chemeClr val="tx2"/>
                </a:solidFill>
              </a:rPr>
              <a:t>Структура цивільних справ окремого провадження у 2022 році</a:t>
            </a:r>
          </a:p>
        </c:rich>
      </c:tx>
      <c:overlay val="0"/>
      <c:spPr>
        <a:noFill/>
        <a:ln>
          <a:noFill/>
        </a:ln>
        <a:effectLst/>
      </c:spPr>
    </c:title>
    <c:autoTitleDeleted val="0"/>
    <c:view3D>
      <c:rotX val="15"/>
      <c:rotY val="20"/>
      <c:depthPercent val="100"/>
      <c:rAngAx val="1"/>
    </c:view3D>
    <c:floor>
      <c:thickness val="0"/>
      <c:spPr>
        <a:noFill/>
        <a:ln w="9525">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6974336541265677"/>
          <c:y val="0.14718253968253969"/>
          <c:w val="0.46076589384660249"/>
          <c:h val="0.66998656417947755"/>
        </c:manualLayout>
      </c:layout>
      <c:bar3DChart>
        <c:barDir val="bar"/>
        <c:grouping val="stacked"/>
        <c:varyColors val="0"/>
        <c:ser>
          <c:idx val="0"/>
          <c:order val="0"/>
          <c:tx>
            <c:strRef>
              <c:f>Лист1!$B$1</c:f>
              <c:strCache>
                <c:ptCount val="1"/>
                <c:pt idx="0">
                  <c:v>Ряд 1</c:v>
                </c:pt>
              </c:strCache>
            </c:strRef>
          </c:tx>
          <c:spPr>
            <a:solidFill>
              <a:srgbClr val="00B050"/>
            </a:solidFill>
            <a:ln>
              <a:noFill/>
            </a:ln>
            <a:effectLst/>
            <a:sp3d/>
          </c:spPr>
          <c:invertIfNegative val="0"/>
          <c:dLbls>
            <c:dLbl>
              <c:idx val="0"/>
              <c:layout>
                <c:manualLayout>
                  <c:x val="6.2499999999999917E-2"/>
                  <c:y val="0"/>
                </c:manualLayout>
              </c:layout>
              <c:tx>
                <c:rich>
                  <a:bodyPr/>
                  <a:lstStyle/>
                  <a:p>
                    <a:r>
                      <a:rPr lang="en-US"/>
                      <a:t>2,86%</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4814814814814728E-2"/>
                  <c:y val="0"/>
                </c:manualLayout>
              </c:layout>
              <c:tx>
                <c:rich>
                  <a:bodyPr/>
                  <a:lstStyle/>
                  <a:p>
                    <a:r>
                      <a:rPr lang="en-US"/>
                      <a:t>5,71%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25"/>
                  <c:y val="-1.1904761904761977E-2"/>
                </c:manualLayout>
              </c:layout>
              <c:tx>
                <c:rich>
                  <a:bodyPr/>
                  <a:lstStyle/>
                  <a:p>
                    <a:r>
                      <a:rPr lang="en-US"/>
                      <a:t>74,29%</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7.8703703703703706E-2"/>
                  <c:y val="-3.968253968253968E-3"/>
                </c:manualLayout>
              </c:layout>
              <c:tx>
                <c:rich>
                  <a:bodyPr/>
                  <a:lstStyle/>
                  <a:p>
                    <a:r>
                      <a:rPr lang="en-US"/>
                      <a:t>8,57%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5.5555555555555552E-2"/>
                  <c:y val="0"/>
                </c:manualLayout>
              </c:layout>
              <c:tx>
                <c:rich>
                  <a:bodyPr/>
                  <a:lstStyle/>
                  <a:p>
                    <a:r>
                      <a:rPr lang="en-US"/>
                      <a:t>2,86%</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5.5555555555555552E-2"/>
                  <c:y val="0"/>
                </c:manualLayout>
              </c:layout>
              <c:tx>
                <c:rich>
                  <a:bodyPr/>
                  <a:lstStyle/>
                  <a:p>
                    <a:r>
                      <a:rPr lang="en-US"/>
                      <a:t>5,71%</a:t>
                    </a:r>
                  </a:p>
                </c:rich>
              </c:tx>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справи про визнання спадщини відумерлою</c:v>
                </c:pt>
                <c:pt idx="1">
                  <c:v>справи про усиновлення</c:v>
                </c:pt>
                <c:pt idx="2">
                  <c:v>справи про встановлення фактів, що мають юридичне значення</c:v>
                </c:pt>
                <c:pt idx="3">
                  <c:v>справи про обмеження дієздатності</c:v>
                </c:pt>
                <c:pt idx="4">
                  <c:v>справи,що виникають із сімейних правовідносин</c:v>
                </c:pt>
                <c:pt idx="5">
                  <c:v>справи про визнання особи безвісно відсутньою</c:v>
                </c:pt>
              </c:strCache>
            </c:strRef>
          </c:cat>
          <c:val>
            <c:numRef>
              <c:f>Лист1!$B$2:$B$8</c:f>
              <c:numCache>
                <c:formatCode>0.00%</c:formatCode>
                <c:ptCount val="7"/>
                <c:pt idx="0">
                  <c:v>2.86E-2</c:v>
                </c:pt>
                <c:pt idx="1">
                  <c:v>5.7099999999999998E-2</c:v>
                </c:pt>
                <c:pt idx="2">
                  <c:v>0.7429</c:v>
                </c:pt>
                <c:pt idx="3">
                  <c:v>8.5699999999999998E-2</c:v>
                </c:pt>
                <c:pt idx="4">
                  <c:v>2.86E-2</c:v>
                </c:pt>
                <c:pt idx="5">
                  <c:v>5.7099999999999998E-2</c:v>
                </c:pt>
              </c:numCache>
            </c:numRef>
          </c:val>
        </c:ser>
        <c:dLbls>
          <c:showLegendKey val="0"/>
          <c:showVal val="0"/>
          <c:showCatName val="0"/>
          <c:showSerName val="0"/>
          <c:showPercent val="0"/>
          <c:showBubbleSize val="0"/>
        </c:dLbls>
        <c:gapWidth val="150"/>
        <c:shape val="box"/>
        <c:axId val="418553024"/>
        <c:axId val="418534600"/>
        <c:axId val="0"/>
      </c:bar3DChart>
      <c:catAx>
        <c:axId val="418553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534600"/>
        <c:crosses val="autoZero"/>
        <c:auto val="1"/>
        <c:lblAlgn val="ctr"/>
        <c:lblOffset val="100"/>
        <c:noMultiLvlLbl val="0"/>
      </c:catAx>
      <c:valAx>
        <c:axId val="4185346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55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chemeClr val="accent1"/>
                </a:solidFill>
              </a:rPr>
              <a:t>Структура цивільних справ наказного провадження у 2022 році</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935586176727914E-2"/>
          <c:y val="0.23436507936507936"/>
          <c:w val="0.90286071011956837"/>
          <c:h val="0.51905449318835151"/>
        </c:manualLayout>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Pt>
            <c:idx val="0"/>
            <c:invertIfNegative val="0"/>
            <c:bubble3D val="0"/>
            <c:spPr>
              <a:solidFill>
                <a:srgbClr val="0070C0"/>
              </a:solidFill>
              <a:ln>
                <a:noFill/>
              </a:ln>
              <a:effectLst/>
              <a:sp3d/>
            </c:spPr>
          </c:dPt>
          <c:dPt>
            <c:idx val="1"/>
            <c:invertIfNegative val="0"/>
            <c:bubble3D val="0"/>
            <c:spPr>
              <a:solidFill>
                <a:srgbClr val="0070C0"/>
              </a:solidFill>
              <a:ln>
                <a:noFill/>
              </a:ln>
              <a:effectLst/>
              <a:sp3d/>
            </c:spPr>
          </c:dPt>
          <c:dPt>
            <c:idx val="2"/>
            <c:invertIfNegative val="0"/>
            <c:bubble3D val="0"/>
            <c:spPr>
              <a:solidFill>
                <a:srgbClr val="0070C0"/>
              </a:solidFill>
              <a:ln>
                <a:noFill/>
              </a:ln>
              <a:effectLst/>
              <a:sp3d/>
            </c:spPr>
          </c:dPt>
          <c:dLbls>
            <c:dLbl>
              <c:idx val="0"/>
              <c:layout>
                <c:manualLayout>
                  <c:x val="0"/>
                  <c:y val="-0.2738095238095238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294E-3"/>
                  <c:y val="-0.1071428571428571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5.95238095238095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стягнення заборгованості за житлово-комунальн послуги</c:v>
                </c:pt>
                <c:pt idx="1">
                  <c:v>стягнення аліментів на одну дитину - 1/4,на двох дітей 1/3</c:v>
                </c:pt>
                <c:pt idx="2">
                  <c:v>стягнення нарахованої, але не виплаченої працівникові суми заробітної плати</c:v>
                </c:pt>
              </c:strCache>
            </c:strRef>
          </c:cat>
          <c:val>
            <c:numRef>
              <c:f>Лист1!$B$2:$B$5</c:f>
              <c:numCache>
                <c:formatCode>0%</c:formatCode>
                <c:ptCount val="4"/>
                <c:pt idx="0">
                  <c:v>0.91300000000000003</c:v>
                </c:pt>
                <c:pt idx="1">
                  <c:v>7.4200000000000002E-2</c:v>
                </c:pt>
                <c:pt idx="2" formatCode="0.00%">
                  <c:v>1.3100000000000001E-2</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Лист1!$A$2:$A$5</c:f>
              <c:strCache>
                <c:ptCount val="3"/>
                <c:pt idx="0">
                  <c:v>стягнення заборгованості за житлово-комунальн послуги</c:v>
                </c:pt>
                <c:pt idx="1">
                  <c:v>стягнення аліментів на одну дитину - 1/4,на двох дітей 1/3</c:v>
                </c:pt>
                <c:pt idx="2">
                  <c:v>стягнення нарахованої, але не виплаченої працівникові суми заробітної плати</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chemeClr val="accent3"/>
            </a:solidFill>
            <a:ln>
              <a:noFill/>
            </a:ln>
            <a:effectLst/>
            <a:sp3d/>
          </c:spPr>
          <c:invertIfNegative val="0"/>
          <c:cat>
            <c:strRef>
              <c:f>Лист1!$A$2:$A$5</c:f>
              <c:strCache>
                <c:ptCount val="3"/>
                <c:pt idx="0">
                  <c:v>стягнення заборгованості за житлово-комунальн послуги</c:v>
                </c:pt>
                <c:pt idx="1">
                  <c:v>стягнення аліментів на одну дитину - 1/4,на двох дітей 1/3</c:v>
                </c:pt>
                <c:pt idx="2">
                  <c:v>стягнення нарахованої, але не виплаченої працівникові суми заробітної плати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418529112"/>
        <c:axId val="418531856"/>
        <c:axId val="0"/>
      </c:bar3DChart>
      <c:catAx>
        <c:axId val="418529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531856"/>
        <c:crosses val="autoZero"/>
        <c:auto val="1"/>
        <c:lblAlgn val="ctr"/>
        <c:lblOffset val="100"/>
        <c:noMultiLvlLbl val="0"/>
      </c:catAx>
      <c:valAx>
        <c:axId val="41853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52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Клопотання слідчого, прокурора</a:t>
            </a:r>
          </a:p>
        </c:rich>
      </c:tx>
      <c:overlay val="0"/>
    </c:title>
    <c:autoTitleDeleted val="0"/>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тимчасовий доступ до речей і документів</c:v>
                </c:pt>
                <c:pt idx="1">
                  <c:v>застосування запобіжних заходів</c:v>
                </c:pt>
                <c:pt idx="2">
                  <c:v>проведення обшуку житла</c:v>
                </c:pt>
                <c:pt idx="3">
                  <c:v>арешт майна</c:v>
                </c:pt>
                <c:pt idx="4">
                  <c:v>скасування арешту майна</c:v>
                </c:pt>
                <c:pt idx="5">
                  <c:v>інші</c:v>
                </c:pt>
                <c:pt idx="6">
                  <c:v>проведення експертизи</c:v>
                </c:pt>
              </c:strCache>
            </c:strRef>
          </c:cat>
          <c:val>
            <c:numRef>
              <c:f>Лист1!$B$2:$B$8</c:f>
              <c:numCache>
                <c:formatCode>General</c:formatCode>
                <c:ptCount val="7"/>
                <c:pt idx="0">
                  <c:v>34.71</c:v>
                </c:pt>
                <c:pt idx="1">
                  <c:v>2.2599999999999998</c:v>
                </c:pt>
                <c:pt idx="2">
                  <c:v>11.32</c:v>
                </c:pt>
                <c:pt idx="3">
                  <c:v>35.1</c:v>
                </c:pt>
                <c:pt idx="4">
                  <c:v>9.0500000000000007</c:v>
                </c:pt>
                <c:pt idx="5">
                  <c:v>7.17</c:v>
                </c:pt>
                <c:pt idx="6">
                  <c:v>0.37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1233042266904686E-3"/>
          <c:y val="0.33339670955764678"/>
          <c:w val="0.52187869310712265"/>
          <c:h val="0.5972309711286089"/>
        </c:manualLayout>
      </c:layout>
      <c:pie3DChart>
        <c:varyColors val="1"/>
        <c:ser>
          <c:idx val="0"/>
          <c:order val="0"/>
          <c:tx>
            <c:strRef>
              <c:f>Лист1!$B$1</c:f>
              <c:strCache>
                <c:ptCount val="1"/>
                <c:pt idx="0">
                  <c:v>Скарги на дії, рішення чи бездіяльність слідчого, прокурора </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4"/>
            <c:bubble3D val="0"/>
            <c:spPr>
              <a:solidFill>
                <a:srgbClr val="FFCD2D"/>
              </a:solidFill>
            </c:spPr>
          </c:dPt>
          <c:dLbls>
            <c:dLbl>
              <c:idx val="0"/>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бездіяльність слідчого, прокурора</c:v>
                </c:pt>
                <c:pt idx="1">
                  <c:v>стосовно невнесення відомостей</c:v>
                </c:pt>
                <c:pt idx="2">
                  <c:v>рішення слідчого про закриття кримінального провадження</c:v>
                </c:pt>
                <c:pt idx="3">
                  <c:v> рішення прокурора про закриття кримінального провадження</c:v>
                </c:pt>
                <c:pt idx="4">
                  <c:v>рішення слідчого,прокурора про відмову у визнанні потерпілим</c:v>
                </c:pt>
              </c:strCache>
            </c:strRef>
          </c:cat>
          <c:val>
            <c:numRef>
              <c:f>Лист1!$B$2:$B$6</c:f>
              <c:numCache>
                <c:formatCode>0.00%</c:formatCode>
                <c:ptCount val="5"/>
                <c:pt idx="0" formatCode="0%">
                  <c:v>0.625</c:v>
                </c:pt>
                <c:pt idx="1">
                  <c:v>0.3</c:v>
                </c:pt>
                <c:pt idx="2">
                  <c:v>0.32500000000000001</c:v>
                </c:pt>
                <c:pt idx="3">
                  <c:v>2.5000000000000001E-2</c:v>
                </c:pt>
                <c:pt idx="4">
                  <c:v>2.5000000000000001E-2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1709542458335067"/>
          <c:y val="0.2898572205328554"/>
          <c:w val="0.48290457541664938"/>
          <c:h val="0.6214812278899920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06A3-D050-416D-8A92-7C25C3CC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15</Pages>
  <Words>9239</Words>
  <Characters>5267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АНАЛІЗ ЗДІЙСНЕННЯ СУДОЧИНСТВА</vt:lpstr>
    </vt:vector>
  </TitlesOfParts>
  <Company>Home, sweet home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ЗДІЙСНЕННЯ СУДОЧИНСТВА</dc:title>
  <dc:creator>Pitel</dc:creator>
  <cp:lastModifiedBy>Куцак</cp:lastModifiedBy>
  <cp:revision>7</cp:revision>
  <cp:lastPrinted>2023-10-23T06:30:00Z</cp:lastPrinted>
  <dcterms:created xsi:type="dcterms:W3CDTF">2023-10-22T04:39:00Z</dcterms:created>
  <dcterms:modified xsi:type="dcterms:W3CDTF">2023-10-23T06:45:00Z</dcterms:modified>
</cp:coreProperties>
</file>